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1D9" w:rsidRDefault="00F001D9">
      <w:pPr>
        <w:pStyle w:val="Standard"/>
        <w:jc w:val="center"/>
        <w:rPr>
          <w:rFonts w:ascii="Arial" w:hAnsi="Arial"/>
          <w:b/>
          <w:sz w:val="28"/>
        </w:rPr>
      </w:pPr>
    </w:p>
    <w:p w:rsidR="00F001D9" w:rsidRPr="00F001D9" w:rsidRDefault="00F001D9" w:rsidP="00F001D9">
      <w:pPr>
        <w:pStyle w:val="Standard"/>
        <w:jc w:val="right"/>
        <w:rPr>
          <w:rFonts w:ascii="Arial" w:hAnsi="Arial"/>
          <w:b/>
          <w:i/>
          <w:sz w:val="24"/>
        </w:rPr>
      </w:pPr>
      <w:r>
        <w:rPr>
          <w:rFonts w:ascii="Arial" w:hAnsi="Arial"/>
          <w:b/>
          <w:i/>
          <w:sz w:val="24"/>
        </w:rPr>
        <w:t>Appendix 6</w:t>
      </w:r>
      <w:bookmarkStart w:id="0" w:name="_GoBack"/>
      <w:bookmarkEnd w:id="0"/>
    </w:p>
    <w:p w:rsidR="00F001D9" w:rsidRDefault="00F001D9">
      <w:pPr>
        <w:pStyle w:val="Standard"/>
        <w:jc w:val="center"/>
        <w:rPr>
          <w:rFonts w:ascii="Arial" w:hAnsi="Arial"/>
          <w:b/>
          <w:sz w:val="28"/>
        </w:rPr>
      </w:pPr>
    </w:p>
    <w:p w:rsidR="00891FDB" w:rsidRDefault="00DF720E">
      <w:pPr>
        <w:pStyle w:val="Standard"/>
        <w:jc w:val="center"/>
        <w:rPr>
          <w:rFonts w:ascii="Arial" w:hAnsi="Arial"/>
          <w:b/>
          <w:sz w:val="28"/>
        </w:rPr>
      </w:pPr>
      <w:r>
        <w:rPr>
          <w:rFonts w:ascii="Arial" w:hAnsi="Arial"/>
          <w:b/>
          <w:sz w:val="28"/>
        </w:rPr>
        <w:t>Fittleworth Neighbourhood Development Plan</w:t>
      </w:r>
    </w:p>
    <w:p w:rsidR="00891FDB" w:rsidRDefault="00891FDB">
      <w:pPr>
        <w:pStyle w:val="Standard"/>
        <w:jc w:val="center"/>
        <w:rPr>
          <w:b/>
          <w:sz w:val="28"/>
        </w:rPr>
      </w:pPr>
    </w:p>
    <w:p w:rsidR="00891FDB" w:rsidRDefault="00891FDB">
      <w:pPr>
        <w:pStyle w:val="Standard"/>
      </w:pPr>
    </w:p>
    <w:p w:rsidR="00891FDB" w:rsidRDefault="00DF720E">
      <w:pPr>
        <w:pStyle w:val="Standard"/>
        <w:rPr>
          <w:rFonts w:ascii="Arial" w:hAnsi="Arial"/>
          <w:b/>
          <w:sz w:val="24"/>
        </w:rPr>
      </w:pPr>
      <w:r>
        <w:rPr>
          <w:rFonts w:ascii="Arial" w:hAnsi="Arial"/>
          <w:b/>
          <w:sz w:val="24"/>
        </w:rPr>
        <w:t>Introduction</w:t>
      </w:r>
    </w:p>
    <w:p w:rsidR="00891FDB" w:rsidRDefault="00891FDB">
      <w:pPr>
        <w:pStyle w:val="Standard"/>
        <w:rPr>
          <w:b/>
          <w:sz w:val="24"/>
        </w:rPr>
      </w:pPr>
    </w:p>
    <w:p w:rsidR="00891FDB" w:rsidRDefault="00DF720E">
      <w:pPr>
        <w:pStyle w:val="Standard"/>
      </w:pPr>
      <w:r>
        <w:t>The public consultation was held in the village hall on 30 and 31 October, and villagers have returned 93 questionnaires. From personal observation, the great majority were from households rather than from couples acting singly. This roughly equates to approaching one quarter of households. Responses, both in person and in writing, were considered, courteous and constructive although this in no way precluded the expression of some strong opinions, and they may reasonably be considered as a fair mirror of village opinion.</w:t>
      </w:r>
    </w:p>
    <w:p w:rsidR="00891FDB" w:rsidRDefault="00891FDB">
      <w:pPr>
        <w:pStyle w:val="Standard"/>
      </w:pPr>
    </w:p>
    <w:p w:rsidR="00891FDB" w:rsidRDefault="00DF720E">
      <w:pPr>
        <w:pStyle w:val="Standard"/>
        <w:spacing w:after="120"/>
      </w:pPr>
      <w:r>
        <w:tab/>
        <w:t>Five sites identified in the South Downs National Park Authority’s Strategic Housing Land Availability Assessment (SHLAA) were presented as options for discussion and the advantages and disadvantages of each presented as objectively as possible. The Neighbourhood Plan working group was deliberately neutral and avoided making any specific recommendations. The sites in question were:</w:t>
      </w:r>
    </w:p>
    <w:p w:rsidR="00891FDB" w:rsidRDefault="00DF720E">
      <w:pPr>
        <w:pStyle w:val="Standard"/>
        <w:tabs>
          <w:tab w:val="left" w:pos="360"/>
        </w:tabs>
        <w:spacing w:after="120"/>
      </w:pPr>
      <w:r>
        <w:tab/>
        <w:t>The Tripp Hill Farmhouse Paddocks (ref CH135)</w:t>
      </w:r>
    </w:p>
    <w:p w:rsidR="00891FDB" w:rsidRDefault="00DF720E">
      <w:pPr>
        <w:pStyle w:val="Standard"/>
        <w:tabs>
          <w:tab w:val="left" w:pos="360"/>
        </w:tabs>
        <w:spacing w:after="120"/>
      </w:pPr>
      <w:r>
        <w:tab/>
        <w:t>Greatpin Croft (ref CH031)</w:t>
      </w:r>
    </w:p>
    <w:p w:rsidR="00891FDB" w:rsidRDefault="00DF720E">
      <w:pPr>
        <w:pStyle w:val="Standard"/>
        <w:tabs>
          <w:tab w:val="left" w:pos="360"/>
        </w:tabs>
        <w:spacing w:after="120"/>
      </w:pPr>
      <w:r>
        <w:tab/>
        <w:t>Land north of the A283 between Sorrels Farm and the junction with School Lane (ref CH034)</w:t>
      </w:r>
    </w:p>
    <w:p w:rsidR="00891FDB" w:rsidRDefault="00DF720E">
      <w:pPr>
        <w:pStyle w:val="Standard"/>
        <w:tabs>
          <w:tab w:val="left" w:pos="360"/>
        </w:tabs>
        <w:spacing w:after="120"/>
      </w:pPr>
      <w:r>
        <w:tab/>
        <w:t>Land at ‘Dunrovin’ at the corner of the Fleet and Limbourne Lane (ref CH033)</w:t>
      </w:r>
    </w:p>
    <w:p w:rsidR="00891FDB" w:rsidRDefault="00DF720E">
      <w:pPr>
        <w:pStyle w:val="Standard"/>
        <w:tabs>
          <w:tab w:val="left" w:pos="360"/>
        </w:tabs>
        <w:spacing w:after="120"/>
      </w:pPr>
      <w:r>
        <w:tab/>
        <w:t>Land at Fleet Cottage (ref CH032)</w:t>
      </w:r>
    </w:p>
    <w:p w:rsidR="00891FDB" w:rsidRDefault="00891FDB">
      <w:pPr>
        <w:pStyle w:val="Standard"/>
        <w:tabs>
          <w:tab w:val="left" w:pos="360"/>
        </w:tabs>
        <w:spacing w:after="120"/>
      </w:pPr>
    </w:p>
    <w:p w:rsidR="00891FDB" w:rsidRDefault="00891FDB">
      <w:pPr>
        <w:pStyle w:val="Standard"/>
      </w:pPr>
    </w:p>
    <w:p w:rsidR="00891FDB" w:rsidRDefault="00DF720E">
      <w:pPr>
        <w:pStyle w:val="Standard"/>
        <w:rPr>
          <w:rFonts w:ascii="Arial" w:hAnsi="Arial"/>
          <w:b/>
          <w:sz w:val="24"/>
        </w:rPr>
      </w:pPr>
      <w:r>
        <w:rPr>
          <w:rFonts w:ascii="Arial" w:hAnsi="Arial"/>
          <w:b/>
          <w:sz w:val="24"/>
        </w:rPr>
        <w:t>Findings</w:t>
      </w:r>
    </w:p>
    <w:p w:rsidR="00891FDB" w:rsidRDefault="00891FDB">
      <w:pPr>
        <w:pStyle w:val="Standard"/>
        <w:rPr>
          <w:b/>
          <w:sz w:val="24"/>
        </w:rPr>
      </w:pPr>
    </w:p>
    <w:p w:rsidR="00891FDB" w:rsidRDefault="00DF720E">
      <w:pPr>
        <w:pStyle w:val="Standard"/>
      </w:pPr>
      <w:r>
        <w:t>79 of the questionnaires returned ranked the sites in the manner requested, although many did not go beyond a second or third option. A further one rejected all the options, and a second felt the need to hear more of the arguments before deciding. In another 12 cases, respondents did not fully indicate the ranking of their chosen sites and where necessary these have had to be treated as fractional votes, for example: 2 half votes for two first choices or 3 one-third votes for three second choices, etc.</w:t>
      </w:r>
    </w:p>
    <w:p w:rsidR="00891FDB" w:rsidRDefault="00891FDB">
      <w:pPr>
        <w:pStyle w:val="Standard"/>
      </w:pPr>
    </w:p>
    <w:p w:rsidR="00891FDB" w:rsidRDefault="00891FDB">
      <w:pPr>
        <w:pStyle w:val="Standard"/>
      </w:pPr>
    </w:p>
    <w:p w:rsidR="00891FDB" w:rsidRDefault="00DF720E">
      <w:pPr>
        <w:pStyle w:val="Standard"/>
      </w:pPr>
      <w:r>
        <w:rPr>
          <w:rFonts w:ascii="Arial" w:hAnsi="Arial"/>
          <w:b/>
          <w:sz w:val="24"/>
        </w:rPr>
        <w:t>Tripp Hill / Lower Horncroft</w:t>
      </w:r>
      <w:r>
        <w:rPr>
          <w:b/>
          <w:sz w:val="24"/>
        </w:rPr>
        <w:t xml:space="preserve"> </w:t>
      </w:r>
      <w:r>
        <w:rPr>
          <w:sz w:val="24"/>
        </w:rPr>
        <w:t>(ref CH135)</w:t>
      </w:r>
    </w:p>
    <w:p w:rsidR="00891FDB" w:rsidRDefault="00891FDB">
      <w:pPr>
        <w:pStyle w:val="Standard"/>
        <w:rPr>
          <w:b/>
          <w:sz w:val="24"/>
        </w:rPr>
      </w:pPr>
    </w:p>
    <w:p w:rsidR="00891FDB" w:rsidRDefault="00DF720E">
      <w:pPr>
        <w:pStyle w:val="Standard"/>
        <w:rPr>
          <w:b/>
        </w:rPr>
      </w:pPr>
      <w:r>
        <w:rPr>
          <w:b/>
        </w:rPr>
        <w:t>The option presented</w:t>
      </w:r>
    </w:p>
    <w:p w:rsidR="00891FDB" w:rsidRDefault="00891FDB">
      <w:pPr>
        <w:pStyle w:val="Standard"/>
      </w:pPr>
    </w:p>
    <w:p w:rsidR="00891FDB" w:rsidRDefault="00DF720E">
      <w:pPr>
        <w:pStyle w:val="Standard"/>
      </w:pPr>
      <w:r>
        <w:t>To develop the site with six or more properties. Development is favoured by the owner, but past positions of the SDNPA appeared to have been contradictory. The site was significantly outside the Fittleworth settlement area and without a bus route or continuous pavement to any of the village amenities, not least the school. Traffic calming measures would be a prerequisite at Tripp Hill, which was already an accident blackspot.</w:t>
      </w:r>
    </w:p>
    <w:p w:rsidR="00891FDB" w:rsidRDefault="00891FDB">
      <w:pPr>
        <w:pStyle w:val="Standard"/>
      </w:pPr>
    </w:p>
    <w:p w:rsidR="00891FDB" w:rsidRDefault="00DF720E">
      <w:pPr>
        <w:pStyle w:val="Standard"/>
        <w:rPr>
          <w:b/>
        </w:rPr>
      </w:pPr>
      <w:r>
        <w:rPr>
          <w:b/>
        </w:rPr>
        <w:t>The questionnaire result</w:t>
      </w:r>
    </w:p>
    <w:p w:rsidR="00891FDB" w:rsidRDefault="00891FDB">
      <w:pPr>
        <w:pStyle w:val="Standard"/>
        <w:rPr>
          <w:b/>
        </w:rPr>
      </w:pPr>
    </w:p>
    <w:p w:rsidR="00891FDB" w:rsidRDefault="00DF720E">
      <w:pPr>
        <w:pStyle w:val="Standard"/>
      </w:pPr>
      <w:r>
        <w:t xml:space="preserve">13 fully completed questionnaires gave this option as their first choice, none of them from Tripp Hill/Lower Horncroft. 4 gave it as their second choice, 4 as their third choice, 5 as their fourth choice </w:t>
      </w:r>
      <w:r>
        <w:lastRenderedPageBreak/>
        <w:t>and 3 as their fifth choice.</w:t>
      </w:r>
    </w:p>
    <w:p w:rsidR="00891FDB" w:rsidRDefault="00891FDB">
      <w:pPr>
        <w:pStyle w:val="Standard"/>
      </w:pPr>
    </w:p>
    <w:p w:rsidR="00891FDB" w:rsidRDefault="00DF720E">
      <w:pPr>
        <w:pStyle w:val="Standard"/>
        <w:rPr>
          <w:b/>
        </w:rPr>
      </w:pPr>
      <w:r>
        <w:rPr>
          <w:b/>
        </w:rPr>
        <w:t>Comment</w:t>
      </w:r>
    </w:p>
    <w:p w:rsidR="00891FDB" w:rsidRDefault="00891FDB">
      <w:pPr>
        <w:pStyle w:val="Standard"/>
        <w:rPr>
          <w:b/>
        </w:rPr>
      </w:pPr>
    </w:p>
    <w:p w:rsidR="00891FDB" w:rsidRDefault="00DF720E">
      <w:pPr>
        <w:pStyle w:val="Standard"/>
      </w:pPr>
      <w:r>
        <w:t>The main reason given by respondents for choosing this option was the assumed absence of the drainage problems which were a major concern for most of the options in the village itself, particularly CH033. The option was also thought to be less likely to generate additional traffic on The Fleet/Upper Street. One respondent, however, made the provocative suggestion that Tripp Hill could benefit from sufficient development to create the focus of what would effectively be a new village. 3 others, however, firmly opposed the option on the grounds that it would spoil the landscape and be unsustainable, being too far from the village centre. Another foresaw the need for traffic control. The current approach of the SDNPA cannot be known in the absence of a planning application. Tripp Hill residents might well oppose development, however, seeing it as a precedent for ‘creeping development’ of the western side of the B2138.</w:t>
      </w:r>
    </w:p>
    <w:p w:rsidR="00891FDB" w:rsidRDefault="00891FDB">
      <w:pPr>
        <w:pStyle w:val="Standard"/>
      </w:pPr>
    </w:p>
    <w:p w:rsidR="00891FDB" w:rsidRDefault="00891FDB">
      <w:pPr>
        <w:pStyle w:val="Standard"/>
      </w:pPr>
    </w:p>
    <w:p w:rsidR="00891FDB" w:rsidRDefault="00DF720E">
      <w:pPr>
        <w:pStyle w:val="Standard"/>
      </w:pPr>
      <w:r>
        <w:rPr>
          <w:rFonts w:ascii="Arial" w:hAnsi="Arial"/>
          <w:b/>
          <w:sz w:val="24"/>
        </w:rPr>
        <w:t>Greatpin Croft</w:t>
      </w:r>
      <w:r>
        <w:rPr>
          <w:b/>
          <w:sz w:val="24"/>
        </w:rPr>
        <w:t xml:space="preserve"> </w:t>
      </w:r>
      <w:r>
        <w:rPr>
          <w:sz w:val="24"/>
        </w:rPr>
        <w:t>(ref CH031)</w:t>
      </w:r>
    </w:p>
    <w:p w:rsidR="00891FDB" w:rsidRDefault="00891FDB">
      <w:pPr>
        <w:pStyle w:val="Standard"/>
        <w:rPr>
          <w:b/>
          <w:sz w:val="24"/>
        </w:rPr>
      </w:pPr>
    </w:p>
    <w:p w:rsidR="00891FDB" w:rsidRDefault="00DF720E">
      <w:pPr>
        <w:pStyle w:val="Standard"/>
        <w:rPr>
          <w:b/>
        </w:rPr>
      </w:pPr>
      <w:r>
        <w:rPr>
          <w:b/>
        </w:rPr>
        <w:t>The option presented</w:t>
      </w:r>
    </w:p>
    <w:p w:rsidR="00891FDB" w:rsidRDefault="00891FDB">
      <w:pPr>
        <w:pStyle w:val="Standard"/>
      </w:pPr>
    </w:p>
    <w:p w:rsidR="00891FDB" w:rsidRDefault="00DF720E">
      <w:pPr>
        <w:pStyle w:val="Standard"/>
      </w:pPr>
      <w:r>
        <w:t>To redevelop the garages on site, which were too small for modern needs, with affordable housing for assisted purchase or rent. Up to 6 small units might be possible but redevelopment would be dependent on the priorities of Hyde Housing Association’s capital programme.</w:t>
      </w:r>
    </w:p>
    <w:p w:rsidR="00891FDB" w:rsidRDefault="00891FDB">
      <w:pPr>
        <w:pStyle w:val="Standard"/>
      </w:pPr>
    </w:p>
    <w:p w:rsidR="00891FDB" w:rsidRDefault="00DF720E">
      <w:pPr>
        <w:pStyle w:val="Standard"/>
        <w:rPr>
          <w:b/>
        </w:rPr>
      </w:pPr>
      <w:r>
        <w:rPr>
          <w:b/>
        </w:rPr>
        <w:t>The questionnaire result</w:t>
      </w:r>
    </w:p>
    <w:p w:rsidR="00891FDB" w:rsidRDefault="00891FDB">
      <w:pPr>
        <w:pStyle w:val="Standard"/>
        <w:rPr>
          <w:b/>
        </w:rPr>
      </w:pPr>
    </w:p>
    <w:p w:rsidR="00891FDB" w:rsidRDefault="00DF720E">
      <w:pPr>
        <w:pStyle w:val="Standard"/>
      </w:pPr>
      <w:r>
        <w:t>30 fully completed questionnaires gave this option as their first choice, 5 of them from Greatpin Croft itself. 17 gave it as their second choice, 6 as their third choice, none as their fourth choice and 3 as their fifth choice.</w:t>
      </w:r>
    </w:p>
    <w:p w:rsidR="00891FDB" w:rsidRDefault="00891FDB">
      <w:pPr>
        <w:pStyle w:val="Standard"/>
      </w:pPr>
    </w:p>
    <w:p w:rsidR="00891FDB" w:rsidRDefault="00DF720E">
      <w:pPr>
        <w:pStyle w:val="Standard"/>
        <w:rPr>
          <w:b/>
        </w:rPr>
      </w:pPr>
      <w:r>
        <w:rPr>
          <w:b/>
        </w:rPr>
        <w:t>Comment</w:t>
      </w:r>
    </w:p>
    <w:p w:rsidR="00891FDB" w:rsidRDefault="00891FDB">
      <w:pPr>
        <w:pStyle w:val="Standard"/>
        <w:rPr>
          <w:b/>
        </w:rPr>
      </w:pPr>
    </w:p>
    <w:p w:rsidR="00891FDB" w:rsidRDefault="00DF720E">
      <w:pPr>
        <w:pStyle w:val="Standard"/>
      </w:pPr>
      <w:r>
        <w:t>This option provoked little controversy, but one response urged: “no more flats, but a mix of small houses and bungalows for young families and the elderly”, partly to release larger properties. Another, from a Greatpin Croft resident, agreed no more flats, but proposed the demolition of some of the present bungalows and their replacement with 10–12 two/three-bedroom family houses. A third speculated on the potential of the allotment site.</w:t>
      </w:r>
    </w:p>
    <w:p w:rsidR="00891FDB" w:rsidRDefault="00DF720E">
      <w:pPr>
        <w:pStyle w:val="Standard"/>
      </w:pPr>
      <w:r>
        <w:tab/>
        <w:t>More generally, the option appeared to receive support because it was within the settlement area, was away from the problems of the A283, and held out no risk of creeping development.</w:t>
      </w:r>
    </w:p>
    <w:p w:rsidR="00891FDB" w:rsidRDefault="00891FDB">
      <w:pPr>
        <w:pStyle w:val="Standard"/>
      </w:pPr>
    </w:p>
    <w:p w:rsidR="00891FDB" w:rsidRDefault="00891FDB">
      <w:pPr>
        <w:pStyle w:val="Standard"/>
      </w:pPr>
    </w:p>
    <w:p w:rsidR="00891FDB" w:rsidRDefault="00DF720E">
      <w:pPr>
        <w:pStyle w:val="Standard"/>
      </w:pPr>
      <w:r>
        <w:rPr>
          <w:rFonts w:ascii="Arial" w:hAnsi="Arial"/>
          <w:b/>
          <w:sz w:val="24"/>
        </w:rPr>
        <w:t>Land north of the A283 between Sorrels Farm and the junction with School Lane</w:t>
      </w:r>
      <w:r>
        <w:rPr>
          <w:b/>
          <w:sz w:val="24"/>
        </w:rPr>
        <w:t xml:space="preserve"> </w:t>
      </w:r>
      <w:r>
        <w:rPr>
          <w:sz w:val="24"/>
        </w:rPr>
        <w:t>(ref CH034)</w:t>
      </w:r>
    </w:p>
    <w:p w:rsidR="00891FDB" w:rsidRDefault="00891FDB">
      <w:pPr>
        <w:pStyle w:val="Standard"/>
        <w:rPr>
          <w:b/>
          <w:sz w:val="24"/>
        </w:rPr>
      </w:pPr>
    </w:p>
    <w:p w:rsidR="00891FDB" w:rsidRDefault="00DF720E">
      <w:pPr>
        <w:pStyle w:val="Standard"/>
        <w:rPr>
          <w:b/>
        </w:rPr>
      </w:pPr>
      <w:r>
        <w:rPr>
          <w:b/>
        </w:rPr>
        <w:t>The option presented</w:t>
      </w:r>
    </w:p>
    <w:p w:rsidR="00891FDB" w:rsidRDefault="00891FDB">
      <w:pPr>
        <w:pStyle w:val="Standard"/>
      </w:pPr>
    </w:p>
    <w:p w:rsidR="00891FDB" w:rsidRDefault="00DF720E">
      <w:pPr>
        <w:pStyle w:val="Standard"/>
      </w:pPr>
      <w:r>
        <w:t>To develop the southern strip of the field, which the owner was keen to sell, with up to 20 houses, as many as possible of them affordable. The site was close to village amenities, the development would be extensively screened with new tree planting, and a roundabout provided at the top of School Lane for access, with traffic calming benefits. It was, however, recognised that the risk of ‘creeping development’ would be high and the initial informal response of the SDNPA landscape officer had been unfavourable on both historic and landscape grounds.</w:t>
      </w:r>
    </w:p>
    <w:p w:rsidR="00891FDB" w:rsidRDefault="00891FDB">
      <w:pPr>
        <w:pStyle w:val="Standard"/>
      </w:pPr>
    </w:p>
    <w:p w:rsidR="00891FDB" w:rsidRDefault="00891FDB">
      <w:pPr>
        <w:pStyle w:val="Standard"/>
        <w:rPr>
          <w:b/>
        </w:rPr>
      </w:pPr>
    </w:p>
    <w:p w:rsidR="00891FDB" w:rsidRDefault="00DF720E">
      <w:pPr>
        <w:pStyle w:val="Standard"/>
        <w:pageBreakBefore/>
        <w:rPr>
          <w:b/>
        </w:rPr>
      </w:pPr>
      <w:r>
        <w:rPr>
          <w:b/>
        </w:rPr>
        <w:lastRenderedPageBreak/>
        <w:t>The questionnaire result</w:t>
      </w:r>
    </w:p>
    <w:p w:rsidR="00891FDB" w:rsidRDefault="00891FDB">
      <w:pPr>
        <w:pStyle w:val="Standard"/>
        <w:rPr>
          <w:b/>
        </w:rPr>
      </w:pPr>
    </w:p>
    <w:p w:rsidR="00891FDB" w:rsidRDefault="00DF720E">
      <w:pPr>
        <w:pStyle w:val="Standard"/>
      </w:pPr>
      <w:r>
        <w:t>12 fully completed questionnaires gave this option as their first choice, 2 of them from The Fleet/Upper Street. 14 gave it as their second choice, 3 as their third choice, 5 as their fourth choice and 4 as their fifth choice.</w:t>
      </w:r>
    </w:p>
    <w:p w:rsidR="00891FDB" w:rsidRDefault="00891FDB">
      <w:pPr>
        <w:pStyle w:val="Standard"/>
      </w:pPr>
    </w:p>
    <w:p w:rsidR="00891FDB" w:rsidRDefault="00DF720E">
      <w:pPr>
        <w:pStyle w:val="Standard"/>
        <w:rPr>
          <w:b/>
        </w:rPr>
      </w:pPr>
      <w:r>
        <w:rPr>
          <w:b/>
        </w:rPr>
        <w:t>Comment</w:t>
      </w:r>
    </w:p>
    <w:p w:rsidR="00891FDB" w:rsidRDefault="00891FDB">
      <w:pPr>
        <w:pStyle w:val="Standard"/>
        <w:rPr>
          <w:b/>
        </w:rPr>
      </w:pPr>
    </w:p>
    <w:p w:rsidR="00891FDB" w:rsidRDefault="00DF720E">
      <w:pPr>
        <w:pStyle w:val="Standard"/>
      </w:pPr>
      <w:r>
        <w:t>This was the only option to generate serious opposition, with the 12 first choices being balanced by 11 who rejected it as opening the way to “creeping development”. One described the option as a “disaster”, and even many of its supporters made their support conditional on an enforceable guarantee against subsequent development. The site nevertheless remains the only one of the options large enough to provide the mixed development sought by a number of respondents and to provide a significant number of affordable homes.</w:t>
      </w:r>
    </w:p>
    <w:p w:rsidR="00891FDB" w:rsidRDefault="00891FDB">
      <w:pPr>
        <w:pStyle w:val="Standard"/>
      </w:pPr>
    </w:p>
    <w:p w:rsidR="00891FDB" w:rsidRDefault="00891FDB">
      <w:pPr>
        <w:pStyle w:val="Standard"/>
      </w:pPr>
    </w:p>
    <w:p w:rsidR="00891FDB" w:rsidRDefault="00DF720E">
      <w:pPr>
        <w:pStyle w:val="Standard"/>
      </w:pPr>
      <w:r>
        <w:rPr>
          <w:rFonts w:ascii="Arial" w:hAnsi="Arial"/>
          <w:b/>
          <w:sz w:val="24"/>
        </w:rPr>
        <w:t>Land at ‘Dunrovin’ at the corner of the Fleet and Limbourne Lane</w:t>
      </w:r>
      <w:r>
        <w:rPr>
          <w:b/>
          <w:sz w:val="24"/>
        </w:rPr>
        <w:t xml:space="preserve"> </w:t>
      </w:r>
      <w:r>
        <w:rPr>
          <w:sz w:val="24"/>
        </w:rPr>
        <w:t>(ref CH033)</w:t>
      </w:r>
    </w:p>
    <w:p w:rsidR="00891FDB" w:rsidRDefault="00891FDB">
      <w:pPr>
        <w:pStyle w:val="Standard"/>
        <w:rPr>
          <w:b/>
          <w:sz w:val="24"/>
        </w:rPr>
      </w:pPr>
    </w:p>
    <w:p w:rsidR="00891FDB" w:rsidRDefault="00DF720E">
      <w:pPr>
        <w:pStyle w:val="Standard"/>
        <w:rPr>
          <w:b/>
        </w:rPr>
      </w:pPr>
      <w:r>
        <w:rPr>
          <w:b/>
        </w:rPr>
        <w:t>The option presented</w:t>
      </w:r>
    </w:p>
    <w:p w:rsidR="00891FDB" w:rsidRDefault="00891FDB">
      <w:pPr>
        <w:pStyle w:val="Standard"/>
      </w:pPr>
    </w:p>
    <w:p w:rsidR="00891FDB" w:rsidRDefault="00DF720E">
      <w:pPr>
        <w:pStyle w:val="Standard"/>
      </w:pPr>
      <w:r>
        <w:t>To develop the site, which the owner was willing to sell, with 6 or more properties. The impact on landscape would be limited and traffic calming measures might be possible. The site was, however, extremely wet, requiring extensive drainage improvements not only on site but on the receiving watercourse down to the river.</w:t>
      </w:r>
    </w:p>
    <w:p w:rsidR="00891FDB" w:rsidRDefault="00891FDB">
      <w:pPr>
        <w:pStyle w:val="Standard"/>
      </w:pPr>
    </w:p>
    <w:p w:rsidR="00891FDB" w:rsidRDefault="00DF720E">
      <w:pPr>
        <w:pStyle w:val="Standard"/>
        <w:rPr>
          <w:b/>
        </w:rPr>
      </w:pPr>
      <w:r>
        <w:rPr>
          <w:b/>
        </w:rPr>
        <w:t>The questionnaire result</w:t>
      </w:r>
    </w:p>
    <w:p w:rsidR="00891FDB" w:rsidRDefault="00891FDB">
      <w:pPr>
        <w:pStyle w:val="Standard"/>
        <w:rPr>
          <w:b/>
        </w:rPr>
      </w:pPr>
    </w:p>
    <w:p w:rsidR="00891FDB" w:rsidRDefault="00DF720E">
      <w:pPr>
        <w:pStyle w:val="Standard"/>
      </w:pPr>
      <w:r>
        <w:t>16 fully completed questionnaires gave this option as their first choice, 5 of them from The Fleet/Limbourne Lane area. 10 gave it as their second choice, 8 as their third choice, 4 as their fourth choice and 4 as their fifth choice.</w:t>
      </w:r>
    </w:p>
    <w:p w:rsidR="00891FDB" w:rsidRDefault="00891FDB">
      <w:pPr>
        <w:pStyle w:val="Standard"/>
      </w:pPr>
    </w:p>
    <w:p w:rsidR="00891FDB" w:rsidRDefault="00DF720E">
      <w:pPr>
        <w:pStyle w:val="Standard"/>
        <w:rPr>
          <w:b/>
        </w:rPr>
      </w:pPr>
      <w:r>
        <w:rPr>
          <w:b/>
        </w:rPr>
        <w:t>Comment</w:t>
      </w:r>
    </w:p>
    <w:p w:rsidR="00891FDB" w:rsidRDefault="00891FDB">
      <w:pPr>
        <w:pStyle w:val="Standard"/>
        <w:rPr>
          <w:b/>
        </w:rPr>
      </w:pPr>
    </w:p>
    <w:p w:rsidR="00891FDB" w:rsidRDefault="00DF720E">
      <w:pPr>
        <w:pStyle w:val="Standard"/>
      </w:pPr>
      <w:r>
        <w:t>This option provoked no opposition and enjoyed quite wide support in principle, as being of an appropriate size and close to village amenities. Development might also lead to welcome traffic calming measures on The Fleet. On the other hand, local residents in particular were extremely conscious of the site’s high water table and the essential nature of flood relief works prior to any development, which could prove to be prohibitively expensive.</w:t>
      </w:r>
    </w:p>
    <w:p w:rsidR="00891FDB" w:rsidRDefault="00891FDB">
      <w:pPr>
        <w:pStyle w:val="Standard"/>
      </w:pPr>
    </w:p>
    <w:p w:rsidR="00891FDB" w:rsidRDefault="00891FDB">
      <w:pPr>
        <w:pStyle w:val="Standard"/>
      </w:pPr>
    </w:p>
    <w:p w:rsidR="00891FDB" w:rsidRDefault="00DF720E">
      <w:pPr>
        <w:pStyle w:val="Standard"/>
      </w:pPr>
      <w:r>
        <w:rPr>
          <w:rFonts w:ascii="Arial" w:hAnsi="Arial"/>
          <w:b/>
          <w:sz w:val="24"/>
        </w:rPr>
        <w:t>Fleet Cottage</w:t>
      </w:r>
      <w:r>
        <w:rPr>
          <w:b/>
          <w:sz w:val="24"/>
        </w:rPr>
        <w:t xml:space="preserve"> </w:t>
      </w:r>
      <w:r>
        <w:rPr>
          <w:sz w:val="24"/>
        </w:rPr>
        <w:t>(ref CH032)</w:t>
      </w:r>
    </w:p>
    <w:p w:rsidR="00891FDB" w:rsidRDefault="00891FDB">
      <w:pPr>
        <w:pStyle w:val="Standard"/>
        <w:rPr>
          <w:b/>
          <w:sz w:val="24"/>
        </w:rPr>
      </w:pPr>
    </w:p>
    <w:p w:rsidR="00891FDB" w:rsidRDefault="00DF720E">
      <w:pPr>
        <w:pStyle w:val="Standard"/>
        <w:rPr>
          <w:b/>
        </w:rPr>
      </w:pPr>
      <w:r>
        <w:rPr>
          <w:b/>
        </w:rPr>
        <w:t>The option presented</w:t>
      </w:r>
    </w:p>
    <w:p w:rsidR="00891FDB" w:rsidRDefault="00891FDB">
      <w:pPr>
        <w:pStyle w:val="Standard"/>
      </w:pPr>
    </w:p>
    <w:p w:rsidR="00891FDB" w:rsidRDefault="00DF720E">
      <w:pPr>
        <w:pStyle w:val="Standard"/>
      </w:pPr>
      <w:r>
        <w:t>To develop the site with six, or slightly more, properties. Although the impact on the environment would be limited, the site was outside, although adjacent to, the current settlement boundary. It was also recognised that highway works would be required to avoid creating a potentially dangerous junction.</w:t>
      </w:r>
    </w:p>
    <w:p w:rsidR="00891FDB" w:rsidRDefault="00DF720E">
      <w:pPr>
        <w:pStyle w:val="Standard"/>
      </w:pPr>
      <w:r>
        <w:tab/>
        <w:t>Nevertheless, the site remained in private ownership and might not become available during the 15-year life of the Plan.</w:t>
      </w:r>
    </w:p>
    <w:p w:rsidR="00891FDB" w:rsidRDefault="00891FDB">
      <w:pPr>
        <w:pStyle w:val="Standard"/>
      </w:pPr>
    </w:p>
    <w:p w:rsidR="00891FDB" w:rsidRDefault="00891FDB">
      <w:pPr>
        <w:pStyle w:val="Standard"/>
        <w:rPr>
          <w:b/>
        </w:rPr>
      </w:pPr>
    </w:p>
    <w:p w:rsidR="00891FDB" w:rsidRDefault="00DF720E">
      <w:pPr>
        <w:pStyle w:val="Standard"/>
        <w:pageBreakBefore/>
        <w:rPr>
          <w:b/>
        </w:rPr>
      </w:pPr>
      <w:r>
        <w:rPr>
          <w:b/>
        </w:rPr>
        <w:lastRenderedPageBreak/>
        <w:t>The questionnaire result</w:t>
      </w:r>
    </w:p>
    <w:p w:rsidR="00891FDB" w:rsidRDefault="00891FDB">
      <w:pPr>
        <w:pStyle w:val="Standard"/>
        <w:rPr>
          <w:b/>
        </w:rPr>
      </w:pPr>
    </w:p>
    <w:p w:rsidR="00891FDB" w:rsidRDefault="00DF720E">
      <w:pPr>
        <w:pStyle w:val="Standard"/>
      </w:pPr>
      <w:r>
        <w:t>8 fully completed questionnaires gave this option as their first choice, 3 of them from The Fleet. 22 gave it as their second choice, 10 as their third choice, 4 as their fourth choice and 2 as their fifth choice.</w:t>
      </w:r>
    </w:p>
    <w:p w:rsidR="00891FDB" w:rsidRDefault="00891FDB">
      <w:pPr>
        <w:pStyle w:val="Standard"/>
      </w:pPr>
    </w:p>
    <w:p w:rsidR="00891FDB" w:rsidRDefault="00DF720E">
      <w:pPr>
        <w:pStyle w:val="Standard"/>
        <w:rPr>
          <w:b/>
        </w:rPr>
      </w:pPr>
      <w:r>
        <w:rPr>
          <w:b/>
        </w:rPr>
        <w:t>Comment</w:t>
      </w:r>
    </w:p>
    <w:p w:rsidR="00891FDB" w:rsidRDefault="00891FDB">
      <w:pPr>
        <w:pStyle w:val="Standard"/>
        <w:rPr>
          <w:b/>
        </w:rPr>
      </w:pPr>
    </w:p>
    <w:p w:rsidR="00891FDB" w:rsidRDefault="00DF720E">
      <w:pPr>
        <w:pStyle w:val="Standard"/>
      </w:pPr>
      <w:r>
        <w:t>This option also provoked no opposition, although there were some drainage implications. The high proportion of second and third, rather than first, choice votes probably reflected awareness that the site might not become available within the 15-year Plan period. One respondent pointed out in its favour that development here would have no impact on the skyline, but stressed the importance of good design in view of the backdrop of the common, suggesting that chalet style housing would be particularly appropriate.</w:t>
      </w:r>
    </w:p>
    <w:p w:rsidR="00891FDB" w:rsidRDefault="00891FDB">
      <w:pPr>
        <w:pStyle w:val="Standard"/>
      </w:pPr>
    </w:p>
    <w:p w:rsidR="00891FDB" w:rsidRDefault="00891FDB">
      <w:pPr>
        <w:pStyle w:val="Standard"/>
      </w:pPr>
    </w:p>
    <w:p w:rsidR="00891FDB" w:rsidRDefault="00DF720E">
      <w:pPr>
        <w:pStyle w:val="Standard"/>
        <w:rPr>
          <w:rFonts w:ascii="Arial" w:hAnsi="Arial"/>
          <w:b/>
          <w:sz w:val="24"/>
        </w:rPr>
      </w:pPr>
      <w:r>
        <w:rPr>
          <w:rFonts w:ascii="Arial" w:hAnsi="Arial"/>
          <w:b/>
          <w:sz w:val="24"/>
        </w:rPr>
        <w:t>An alternative proposal</w:t>
      </w:r>
    </w:p>
    <w:p w:rsidR="00891FDB" w:rsidRDefault="00891FDB">
      <w:pPr>
        <w:pStyle w:val="Standard"/>
        <w:rPr>
          <w:b/>
          <w:sz w:val="24"/>
        </w:rPr>
      </w:pPr>
    </w:p>
    <w:p w:rsidR="00891FDB" w:rsidRDefault="00DF720E">
      <w:pPr>
        <w:pStyle w:val="Standard"/>
      </w:pPr>
      <w:r>
        <w:t>8 of the fully completed questionnaires also proposed moving the recreation ground and facilities to the site north of the A283, either in whole or in part, and developing the recreation ground for housing. Some suggested that the present sports association building could then be converted into a shop. Several mothers at the consultation, however, opposed the idea as their young children would have to cross the A283 to reach it.</w:t>
      </w:r>
    </w:p>
    <w:p w:rsidR="00891FDB" w:rsidRDefault="00891FDB">
      <w:pPr>
        <w:pStyle w:val="Standard"/>
      </w:pPr>
    </w:p>
    <w:p w:rsidR="00891FDB" w:rsidRDefault="00DF720E">
      <w:pPr>
        <w:pStyle w:val="Standard"/>
        <w:rPr>
          <w:b/>
        </w:rPr>
      </w:pPr>
      <w:r>
        <w:rPr>
          <w:b/>
        </w:rPr>
        <w:t>Comment</w:t>
      </w:r>
    </w:p>
    <w:p w:rsidR="00891FDB" w:rsidRDefault="00891FDB">
      <w:pPr>
        <w:pStyle w:val="Standard"/>
        <w:rPr>
          <w:b/>
        </w:rPr>
      </w:pPr>
    </w:p>
    <w:p w:rsidR="00891FDB" w:rsidRDefault="00DF720E">
      <w:pPr>
        <w:pStyle w:val="Standard"/>
      </w:pPr>
      <w:r>
        <w:t>The attitude of the village as a whole is not known. Although any new housing would be at the core of the village, it could give that core an urban (or suburban) feel, and the village would lose its nearest approach to a village green with an attractive view of Fittleworth common as its backdrop. One respondent believed that the parish council was not permitted to alienate the present recreation ground under the terms of the deeds.</w:t>
      </w:r>
    </w:p>
    <w:p w:rsidR="00891FDB" w:rsidRDefault="00DF720E">
      <w:pPr>
        <w:pStyle w:val="Standard"/>
      </w:pPr>
      <w:r>
        <w:tab/>
        <w:t>The SDNPA has not, as yet, been consulted.</w:t>
      </w:r>
    </w:p>
    <w:p w:rsidR="00891FDB" w:rsidRDefault="00891FDB">
      <w:pPr>
        <w:pStyle w:val="Standard"/>
      </w:pPr>
    </w:p>
    <w:p w:rsidR="00891FDB" w:rsidRDefault="00891FDB">
      <w:pPr>
        <w:pStyle w:val="Standard"/>
      </w:pPr>
    </w:p>
    <w:p w:rsidR="00891FDB" w:rsidRDefault="00891FDB">
      <w:pPr>
        <w:pStyle w:val="Standard"/>
      </w:pPr>
    </w:p>
    <w:p w:rsidR="00891FDB" w:rsidRDefault="00DF720E">
      <w:pPr>
        <w:pStyle w:val="Standard"/>
        <w:pageBreakBefore/>
        <w:rPr>
          <w:rFonts w:ascii="Arial" w:hAnsi="Arial"/>
          <w:b/>
          <w:sz w:val="24"/>
        </w:rPr>
      </w:pPr>
      <w:r>
        <w:rPr>
          <w:rFonts w:ascii="Arial" w:hAnsi="Arial"/>
          <w:b/>
          <w:sz w:val="24"/>
        </w:rPr>
        <w:lastRenderedPageBreak/>
        <w:t>Summary of option preferences including fractional votes</w:t>
      </w:r>
    </w:p>
    <w:p w:rsidR="00891FDB" w:rsidRDefault="00891FDB">
      <w:pPr>
        <w:pStyle w:val="Standard"/>
        <w:rPr>
          <w:b/>
          <w:sz w:val="24"/>
        </w:rPr>
      </w:pPr>
    </w:p>
    <w:p w:rsidR="00891FDB" w:rsidRDefault="00891FDB">
      <w:pPr>
        <w:pStyle w:val="Standard"/>
      </w:pPr>
    </w:p>
    <w:tbl>
      <w:tblPr>
        <w:tblW w:w="8114" w:type="dxa"/>
        <w:tblInd w:w="-133" w:type="dxa"/>
        <w:tblLayout w:type="fixed"/>
        <w:tblCellMar>
          <w:left w:w="10" w:type="dxa"/>
          <w:right w:w="10" w:type="dxa"/>
        </w:tblCellMar>
        <w:tblLook w:val="0000" w:firstRow="0" w:lastRow="0" w:firstColumn="0" w:lastColumn="0" w:noHBand="0" w:noVBand="0"/>
      </w:tblPr>
      <w:tblGrid>
        <w:gridCol w:w="3024"/>
        <w:gridCol w:w="1008"/>
        <w:gridCol w:w="1008"/>
        <w:gridCol w:w="1008"/>
        <w:gridCol w:w="1008"/>
        <w:gridCol w:w="1058"/>
      </w:tblGrid>
      <w:tr w:rsidR="00891FDB">
        <w:tc>
          <w:tcPr>
            <w:tcW w:w="3024" w:type="dxa"/>
            <w:tcBorders>
              <w:top w:val="single" w:sz="8" w:space="0" w:color="000000"/>
              <w:left w:val="single" w:sz="8" w:space="0" w:color="000000"/>
            </w:tcBorders>
            <w:tcMar>
              <w:top w:w="0" w:type="dxa"/>
              <w:left w:w="108" w:type="dxa"/>
              <w:bottom w:w="0" w:type="dxa"/>
              <w:right w:w="108" w:type="dxa"/>
            </w:tcMar>
          </w:tcPr>
          <w:p w:rsidR="00891FDB" w:rsidRDefault="00DF720E">
            <w:pPr>
              <w:pStyle w:val="Standard"/>
              <w:spacing w:before="120" w:after="120"/>
              <w:rPr>
                <w:rFonts w:ascii="Arial" w:hAnsi="Arial"/>
                <w:b/>
              </w:rPr>
            </w:pPr>
            <w:r>
              <w:rPr>
                <w:rFonts w:ascii="Arial" w:hAnsi="Arial"/>
                <w:b/>
              </w:rPr>
              <w:t>Site</w:t>
            </w:r>
          </w:p>
          <w:p w:rsidR="00891FDB" w:rsidRDefault="00891FDB">
            <w:pPr>
              <w:pStyle w:val="Standard"/>
              <w:spacing w:before="120" w:after="120"/>
            </w:pPr>
          </w:p>
        </w:tc>
        <w:tc>
          <w:tcPr>
            <w:tcW w:w="1008" w:type="dxa"/>
            <w:tcBorders>
              <w:top w:val="single" w:sz="8" w:space="0" w:color="000000"/>
              <w:left w:val="double" w:sz="2" w:space="0" w:color="000000"/>
              <w:bottom w:val="double" w:sz="2" w:space="0" w:color="000000"/>
            </w:tcBorders>
            <w:tcMar>
              <w:top w:w="0" w:type="dxa"/>
              <w:left w:w="108" w:type="dxa"/>
              <w:bottom w:w="0" w:type="dxa"/>
              <w:right w:w="108" w:type="dxa"/>
            </w:tcMar>
          </w:tcPr>
          <w:p w:rsidR="00891FDB" w:rsidRDefault="00DF720E">
            <w:pPr>
              <w:pStyle w:val="Standard"/>
              <w:spacing w:before="120" w:after="120"/>
              <w:rPr>
                <w:rFonts w:ascii="Arial" w:hAnsi="Arial"/>
                <w:b/>
              </w:rPr>
            </w:pPr>
            <w:r>
              <w:rPr>
                <w:rFonts w:ascii="Arial" w:hAnsi="Arial"/>
                <w:b/>
              </w:rPr>
              <w:t>1st choice</w:t>
            </w:r>
          </w:p>
          <w:p w:rsidR="00891FDB" w:rsidRDefault="00891FDB">
            <w:pPr>
              <w:pStyle w:val="Standard"/>
              <w:spacing w:before="120" w:after="120"/>
              <w:rPr>
                <w:rFonts w:ascii="Arial" w:hAnsi="Arial"/>
              </w:rPr>
            </w:pPr>
          </w:p>
        </w:tc>
        <w:tc>
          <w:tcPr>
            <w:tcW w:w="1008" w:type="dxa"/>
            <w:tcBorders>
              <w:top w:val="single" w:sz="8" w:space="0" w:color="000000"/>
              <w:left w:val="single" w:sz="4" w:space="0" w:color="000000"/>
              <w:bottom w:val="double" w:sz="2" w:space="0" w:color="000000"/>
            </w:tcBorders>
            <w:tcMar>
              <w:top w:w="0" w:type="dxa"/>
              <w:left w:w="108" w:type="dxa"/>
              <w:bottom w:w="0" w:type="dxa"/>
              <w:right w:w="108" w:type="dxa"/>
            </w:tcMar>
          </w:tcPr>
          <w:p w:rsidR="00891FDB" w:rsidRDefault="00DF720E">
            <w:pPr>
              <w:pStyle w:val="Standard"/>
              <w:spacing w:before="120" w:after="120"/>
              <w:rPr>
                <w:rFonts w:ascii="Arial" w:hAnsi="Arial"/>
                <w:b/>
              </w:rPr>
            </w:pPr>
            <w:r>
              <w:rPr>
                <w:rFonts w:ascii="Arial" w:hAnsi="Arial"/>
                <w:b/>
              </w:rPr>
              <w:t>2nd choice</w:t>
            </w:r>
          </w:p>
          <w:p w:rsidR="00891FDB" w:rsidRDefault="00891FDB">
            <w:pPr>
              <w:pStyle w:val="Standard"/>
              <w:spacing w:before="120" w:after="120"/>
              <w:rPr>
                <w:b/>
              </w:rPr>
            </w:pPr>
          </w:p>
        </w:tc>
        <w:tc>
          <w:tcPr>
            <w:tcW w:w="1008" w:type="dxa"/>
            <w:tcBorders>
              <w:top w:val="single" w:sz="8" w:space="0" w:color="000000"/>
              <w:left w:val="single" w:sz="4" w:space="0" w:color="000000"/>
              <w:bottom w:val="double" w:sz="2" w:space="0" w:color="000000"/>
            </w:tcBorders>
            <w:tcMar>
              <w:top w:w="0" w:type="dxa"/>
              <w:left w:w="108" w:type="dxa"/>
              <w:bottom w:w="0" w:type="dxa"/>
              <w:right w:w="108" w:type="dxa"/>
            </w:tcMar>
          </w:tcPr>
          <w:p w:rsidR="00891FDB" w:rsidRDefault="00DF720E">
            <w:pPr>
              <w:pStyle w:val="Standard"/>
              <w:spacing w:before="120" w:after="120"/>
              <w:rPr>
                <w:rFonts w:ascii="Arial" w:hAnsi="Arial"/>
                <w:b/>
              </w:rPr>
            </w:pPr>
            <w:r>
              <w:rPr>
                <w:rFonts w:ascii="Arial" w:hAnsi="Arial"/>
                <w:b/>
              </w:rPr>
              <w:t>3rd choice</w:t>
            </w:r>
          </w:p>
          <w:p w:rsidR="00891FDB" w:rsidRDefault="00891FDB">
            <w:pPr>
              <w:pStyle w:val="Standard"/>
              <w:spacing w:before="120" w:after="120"/>
              <w:rPr>
                <w:b/>
              </w:rPr>
            </w:pPr>
          </w:p>
        </w:tc>
        <w:tc>
          <w:tcPr>
            <w:tcW w:w="1008" w:type="dxa"/>
            <w:tcBorders>
              <w:top w:val="single" w:sz="8" w:space="0" w:color="000000"/>
              <w:left w:val="single" w:sz="4" w:space="0" w:color="000000"/>
              <w:bottom w:val="double" w:sz="2" w:space="0" w:color="000000"/>
            </w:tcBorders>
            <w:tcMar>
              <w:top w:w="0" w:type="dxa"/>
              <w:left w:w="108" w:type="dxa"/>
              <w:bottom w:w="0" w:type="dxa"/>
              <w:right w:w="108" w:type="dxa"/>
            </w:tcMar>
          </w:tcPr>
          <w:p w:rsidR="00891FDB" w:rsidRDefault="00DF720E">
            <w:pPr>
              <w:pStyle w:val="Standard"/>
              <w:spacing w:before="120" w:after="120"/>
              <w:rPr>
                <w:rFonts w:ascii="Arial" w:hAnsi="Arial"/>
                <w:b/>
              </w:rPr>
            </w:pPr>
            <w:r>
              <w:rPr>
                <w:rFonts w:ascii="Arial" w:hAnsi="Arial"/>
                <w:b/>
              </w:rPr>
              <w:t>4th choice</w:t>
            </w:r>
          </w:p>
          <w:p w:rsidR="00891FDB" w:rsidRDefault="00891FDB">
            <w:pPr>
              <w:pStyle w:val="Standard"/>
              <w:spacing w:before="120" w:after="120"/>
              <w:rPr>
                <w:b/>
              </w:rPr>
            </w:pPr>
          </w:p>
        </w:tc>
        <w:tc>
          <w:tcPr>
            <w:tcW w:w="1058" w:type="dxa"/>
            <w:tcBorders>
              <w:top w:val="single" w:sz="8" w:space="0" w:color="000000"/>
              <w:left w:val="single" w:sz="4" w:space="0" w:color="000000"/>
              <w:bottom w:val="double" w:sz="2" w:space="0" w:color="000000"/>
              <w:right w:val="single" w:sz="8" w:space="0" w:color="000000"/>
            </w:tcBorders>
            <w:tcMar>
              <w:top w:w="0" w:type="dxa"/>
              <w:left w:w="108" w:type="dxa"/>
              <w:bottom w:w="0" w:type="dxa"/>
              <w:right w:w="108" w:type="dxa"/>
            </w:tcMar>
          </w:tcPr>
          <w:p w:rsidR="00891FDB" w:rsidRDefault="00DF720E">
            <w:pPr>
              <w:pStyle w:val="Standard"/>
              <w:spacing w:before="120" w:after="120"/>
              <w:rPr>
                <w:rFonts w:ascii="Arial" w:hAnsi="Arial"/>
                <w:b/>
              </w:rPr>
            </w:pPr>
            <w:r>
              <w:rPr>
                <w:rFonts w:ascii="Arial" w:hAnsi="Arial"/>
                <w:b/>
              </w:rPr>
              <w:t>5th choice</w:t>
            </w:r>
          </w:p>
          <w:p w:rsidR="00891FDB" w:rsidRDefault="00891FDB">
            <w:pPr>
              <w:pStyle w:val="Standard"/>
              <w:spacing w:before="120" w:after="120"/>
              <w:rPr>
                <w:b/>
              </w:rPr>
            </w:pPr>
          </w:p>
        </w:tc>
      </w:tr>
      <w:tr w:rsidR="00891FDB">
        <w:trPr>
          <w:trHeight w:val="720"/>
        </w:trPr>
        <w:tc>
          <w:tcPr>
            <w:tcW w:w="3024" w:type="dxa"/>
            <w:tcBorders>
              <w:top w:val="double" w:sz="2" w:space="0" w:color="000000"/>
              <w:left w:val="single" w:sz="8" w:space="0" w:color="000000"/>
              <w:bottom w:val="single" w:sz="4" w:space="0" w:color="000000"/>
            </w:tcBorders>
            <w:tcMar>
              <w:top w:w="0" w:type="dxa"/>
              <w:left w:w="108" w:type="dxa"/>
              <w:bottom w:w="0" w:type="dxa"/>
              <w:right w:w="108" w:type="dxa"/>
            </w:tcMar>
          </w:tcPr>
          <w:p w:rsidR="00891FDB" w:rsidRDefault="00DF720E">
            <w:pPr>
              <w:pStyle w:val="Standard"/>
              <w:spacing w:before="120"/>
              <w:rPr>
                <w:rFonts w:ascii="Arial" w:hAnsi="Arial"/>
              </w:rPr>
            </w:pPr>
            <w:r>
              <w:rPr>
                <w:rFonts w:ascii="Arial" w:hAnsi="Arial"/>
              </w:rPr>
              <w:t>Tripp Hill / Lower Horncroft</w:t>
            </w:r>
          </w:p>
          <w:p w:rsidR="00891FDB" w:rsidRDefault="00891FDB">
            <w:pPr>
              <w:pStyle w:val="Standard"/>
              <w:spacing w:before="120"/>
            </w:pPr>
          </w:p>
          <w:p w:rsidR="00891FDB" w:rsidRDefault="00891FDB">
            <w:pPr>
              <w:pStyle w:val="Standard"/>
            </w:pPr>
          </w:p>
        </w:tc>
        <w:tc>
          <w:tcPr>
            <w:tcW w:w="1008" w:type="dxa"/>
            <w:tcBorders>
              <w:left w:val="double" w:sz="2" w:space="0" w:color="000000"/>
              <w:bottom w:val="single" w:sz="4" w:space="0" w:color="000000"/>
            </w:tcBorders>
            <w:tcMar>
              <w:top w:w="0" w:type="dxa"/>
              <w:left w:w="108" w:type="dxa"/>
              <w:bottom w:w="0" w:type="dxa"/>
              <w:right w:w="108" w:type="dxa"/>
            </w:tcMar>
          </w:tcPr>
          <w:p w:rsidR="00891FDB" w:rsidRDefault="00DF720E">
            <w:pPr>
              <w:pStyle w:val="Standard"/>
              <w:spacing w:before="120"/>
              <w:rPr>
                <w:rFonts w:ascii="Arial" w:hAnsi="Arial"/>
              </w:rPr>
            </w:pPr>
            <w:r>
              <w:rPr>
                <w:rFonts w:ascii="Arial" w:hAnsi="Arial"/>
              </w:rPr>
              <w:t>13</w:t>
            </w:r>
            <w:r>
              <w:rPr>
                <w:rFonts w:ascii="Arial" w:hAnsi="Arial"/>
                <w:position w:val="6"/>
                <w:sz w:val="12"/>
              </w:rPr>
              <w:t>5</w:t>
            </w:r>
            <w:r>
              <w:rPr>
                <w:rFonts w:ascii="Arial" w:hAnsi="Arial"/>
              </w:rPr>
              <w:t>/</w:t>
            </w:r>
            <w:r>
              <w:rPr>
                <w:rFonts w:ascii="Arial" w:hAnsi="Arial"/>
                <w:sz w:val="12"/>
              </w:rPr>
              <w:t>6</w:t>
            </w:r>
          </w:p>
          <w:p w:rsidR="00891FDB" w:rsidRDefault="00891FDB">
            <w:pPr>
              <w:pStyle w:val="Standard"/>
              <w:spacing w:before="120"/>
              <w:rPr>
                <w:rFonts w:ascii="Arial" w:hAnsi="Arial"/>
              </w:rPr>
            </w:pPr>
          </w:p>
        </w:tc>
        <w:tc>
          <w:tcPr>
            <w:tcW w:w="1008" w:type="dxa"/>
            <w:tcBorders>
              <w:left w:val="single" w:sz="4" w:space="0" w:color="000000"/>
              <w:bottom w:val="single" w:sz="4" w:space="0" w:color="000000"/>
            </w:tcBorders>
            <w:tcMar>
              <w:top w:w="0" w:type="dxa"/>
              <w:left w:w="108" w:type="dxa"/>
              <w:bottom w:w="0" w:type="dxa"/>
              <w:right w:w="108" w:type="dxa"/>
            </w:tcMar>
          </w:tcPr>
          <w:p w:rsidR="00891FDB" w:rsidRDefault="00DF720E">
            <w:pPr>
              <w:pStyle w:val="Standard"/>
              <w:spacing w:before="120"/>
              <w:rPr>
                <w:rFonts w:ascii="Arial" w:hAnsi="Arial"/>
              </w:rPr>
            </w:pPr>
            <w:r>
              <w:rPr>
                <w:rFonts w:ascii="Arial" w:hAnsi="Arial"/>
              </w:rPr>
              <w:t>14½</w:t>
            </w:r>
          </w:p>
          <w:p w:rsidR="00891FDB" w:rsidRDefault="00891FDB">
            <w:pPr>
              <w:pStyle w:val="Standard"/>
              <w:spacing w:before="120"/>
              <w:rPr>
                <w:rFonts w:ascii="Arial" w:hAnsi="Arial"/>
              </w:rPr>
            </w:pPr>
          </w:p>
        </w:tc>
        <w:tc>
          <w:tcPr>
            <w:tcW w:w="1008" w:type="dxa"/>
            <w:tcBorders>
              <w:left w:val="single" w:sz="4" w:space="0" w:color="000000"/>
              <w:bottom w:val="single" w:sz="4" w:space="0" w:color="000000"/>
            </w:tcBorders>
            <w:tcMar>
              <w:top w:w="0" w:type="dxa"/>
              <w:left w:w="108" w:type="dxa"/>
              <w:bottom w:w="0" w:type="dxa"/>
              <w:right w:w="108" w:type="dxa"/>
            </w:tcMar>
          </w:tcPr>
          <w:p w:rsidR="00891FDB" w:rsidRDefault="00DF720E">
            <w:pPr>
              <w:pStyle w:val="Standard"/>
              <w:spacing w:before="120"/>
              <w:rPr>
                <w:rFonts w:ascii="Arial" w:hAnsi="Arial"/>
              </w:rPr>
            </w:pPr>
            <w:r>
              <w:rPr>
                <w:rFonts w:ascii="Arial" w:hAnsi="Arial"/>
              </w:rPr>
              <w:t>4½</w:t>
            </w:r>
          </w:p>
          <w:p w:rsidR="00891FDB" w:rsidRDefault="00891FDB">
            <w:pPr>
              <w:pStyle w:val="Standard"/>
              <w:spacing w:before="120"/>
              <w:rPr>
                <w:rFonts w:ascii="Arial" w:hAnsi="Arial"/>
              </w:rPr>
            </w:pPr>
          </w:p>
        </w:tc>
        <w:tc>
          <w:tcPr>
            <w:tcW w:w="1008" w:type="dxa"/>
            <w:tcBorders>
              <w:left w:val="single" w:sz="4" w:space="0" w:color="000000"/>
              <w:bottom w:val="single" w:sz="4" w:space="0" w:color="000000"/>
            </w:tcBorders>
            <w:tcMar>
              <w:top w:w="0" w:type="dxa"/>
              <w:left w:w="108" w:type="dxa"/>
              <w:bottom w:w="0" w:type="dxa"/>
              <w:right w:w="108" w:type="dxa"/>
            </w:tcMar>
          </w:tcPr>
          <w:p w:rsidR="00891FDB" w:rsidRDefault="00DF720E">
            <w:pPr>
              <w:pStyle w:val="Standard"/>
              <w:spacing w:before="120"/>
              <w:rPr>
                <w:rFonts w:ascii="Arial" w:hAnsi="Arial"/>
              </w:rPr>
            </w:pPr>
            <w:r>
              <w:rPr>
                <w:rFonts w:ascii="Arial" w:hAnsi="Arial"/>
              </w:rPr>
              <w:t>5</w:t>
            </w:r>
          </w:p>
          <w:p w:rsidR="00891FDB" w:rsidRDefault="00891FDB">
            <w:pPr>
              <w:pStyle w:val="Standard"/>
              <w:spacing w:before="120"/>
              <w:rPr>
                <w:rFonts w:ascii="Arial" w:hAnsi="Arial"/>
              </w:rPr>
            </w:pPr>
          </w:p>
        </w:tc>
        <w:tc>
          <w:tcPr>
            <w:tcW w:w="1058" w:type="dxa"/>
            <w:tcBorders>
              <w:left w:val="single" w:sz="4" w:space="0" w:color="000000"/>
              <w:bottom w:val="single" w:sz="4" w:space="0" w:color="000000"/>
              <w:right w:val="single" w:sz="8" w:space="0" w:color="000000"/>
            </w:tcBorders>
            <w:tcMar>
              <w:top w:w="0" w:type="dxa"/>
              <w:left w:w="108" w:type="dxa"/>
              <w:bottom w:w="0" w:type="dxa"/>
              <w:right w:w="108" w:type="dxa"/>
            </w:tcMar>
          </w:tcPr>
          <w:p w:rsidR="00891FDB" w:rsidRDefault="00DF720E">
            <w:pPr>
              <w:pStyle w:val="Standard"/>
              <w:spacing w:before="120"/>
              <w:rPr>
                <w:rFonts w:ascii="Arial" w:hAnsi="Arial"/>
              </w:rPr>
            </w:pPr>
            <w:r>
              <w:rPr>
                <w:rFonts w:ascii="Arial" w:hAnsi="Arial"/>
              </w:rPr>
              <w:t>3</w:t>
            </w:r>
          </w:p>
          <w:p w:rsidR="00891FDB" w:rsidRDefault="00891FDB">
            <w:pPr>
              <w:pStyle w:val="Standard"/>
              <w:spacing w:before="120"/>
              <w:rPr>
                <w:rFonts w:ascii="Arial" w:hAnsi="Arial"/>
              </w:rPr>
            </w:pPr>
          </w:p>
        </w:tc>
      </w:tr>
      <w:tr w:rsidR="00891FDB">
        <w:trPr>
          <w:trHeight w:val="720"/>
        </w:trPr>
        <w:tc>
          <w:tcPr>
            <w:tcW w:w="3024" w:type="dxa"/>
            <w:tcBorders>
              <w:top w:val="single" w:sz="4" w:space="0" w:color="000000"/>
              <w:left w:val="single" w:sz="8" w:space="0" w:color="000000"/>
              <w:bottom w:val="single" w:sz="4" w:space="0" w:color="000000"/>
            </w:tcBorders>
            <w:tcMar>
              <w:top w:w="0" w:type="dxa"/>
              <w:left w:w="108" w:type="dxa"/>
              <w:bottom w:w="0" w:type="dxa"/>
              <w:right w:w="108" w:type="dxa"/>
            </w:tcMar>
          </w:tcPr>
          <w:p w:rsidR="00891FDB" w:rsidRDefault="00DF720E">
            <w:pPr>
              <w:pStyle w:val="Standard"/>
              <w:spacing w:before="120"/>
              <w:rPr>
                <w:rFonts w:ascii="Arial" w:hAnsi="Arial"/>
              </w:rPr>
            </w:pPr>
            <w:r>
              <w:rPr>
                <w:rFonts w:ascii="Arial" w:hAnsi="Arial"/>
              </w:rPr>
              <w:t>Greatpin Croft</w:t>
            </w:r>
          </w:p>
          <w:p w:rsidR="00891FDB" w:rsidRDefault="00891FDB">
            <w:pPr>
              <w:pStyle w:val="Standard"/>
              <w:spacing w:before="120"/>
              <w:rPr>
                <w:rFonts w:ascii="Arial" w:hAnsi="Arial"/>
              </w:rPr>
            </w:pPr>
          </w:p>
          <w:p w:rsidR="00891FDB" w:rsidRDefault="00891FDB">
            <w:pPr>
              <w:pStyle w:val="Standard"/>
              <w:rPr>
                <w:rFonts w:ascii="Arial" w:hAnsi="Arial"/>
              </w:rPr>
            </w:pPr>
          </w:p>
        </w:tc>
        <w:tc>
          <w:tcPr>
            <w:tcW w:w="1008" w:type="dxa"/>
            <w:tcBorders>
              <w:top w:val="single" w:sz="4" w:space="0" w:color="000000"/>
              <w:left w:val="double" w:sz="2" w:space="0" w:color="000000"/>
              <w:bottom w:val="single" w:sz="4" w:space="0" w:color="000000"/>
            </w:tcBorders>
            <w:tcMar>
              <w:top w:w="0" w:type="dxa"/>
              <w:left w:w="108" w:type="dxa"/>
              <w:bottom w:w="0" w:type="dxa"/>
              <w:right w:w="108" w:type="dxa"/>
            </w:tcMar>
          </w:tcPr>
          <w:p w:rsidR="00891FDB" w:rsidRDefault="00DF720E">
            <w:pPr>
              <w:pStyle w:val="Standard"/>
              <w:spacing w:before="120"/>
              <w:rPr>
                <w:rFonts w:ascii="Arial" w:hAnsi="Arial"/>
              </w:rPr>
            </w:pPr>
            <w:r>
              <w:rPr>
                <w:rFonts w:ascii="Arial" w:hAnsi="Arial"/>
              </w:rPr>
              <w:t>36</w:t>
            </w:r>
            <w:r>
              <w:rPr>
                <w:rFonts w:ascii="Arial" w:hAnsi="Arial"/>
                <w:position w:val="6"/>
                <w:sz w:val="12"/>
              </w:rPr>
              <w:t>1</w:t>
            </w:r>
            <w:r>
              <w:rPr>
                <w:rFonts w:ascii="Arial" w:hAnsi="Arial"/>
              </w:rPr>
              <w:t>/</w:t>
            </w:r>
            <w:r>
              <w:rPr>
                <w:rFonts w:ascii="Arial" w:hAnsi="Arial"/>
                <w:sz w:val="12"/>
              </w:rPr>
              <w:t>6</w:t>
            </w:r>
          </w:p>
          <w:p w:rsidR="00891FDB" w:rsidRDefault="00891FDB">
            <w:pPr>
              <w:pStyle w:val="Standard"/>
              <w:spacing w:before="120"/>
              <w:rPr>
                <w:rFonts w:ascii="Arial" w:hAnsi="Arial"/>
              </w:rPr>
            </w:pPr>
          </w:p>
        </w:tc>
        <w:tc>
          <w:tcPr>
            <w:tcW w:w="1008" w:type="dxa"/>
            <w:tcBorders>
              <w:top w:val="single" w:sz="4" w:space="0" w:color="000000"/>
              <w:left w:val="single" w:sz="4" w:space="0" w:color="000000"/>
              <w:bottom w:val="single" w:sz="4" w:space="0" w:color="000000"/>
            </w:tcBorders>
            <w:tcMar>
              <w:top w:w="0" w:type="dxa"/>
              <w:left w:w="108" w:type="dxa"/>
              <w:bottom w:w="0" w:type="dxa"/>
              <w:right w:w="108" w:type="dxa"/>
            </w:tcMar>
          </w:tcPr>
          <w:p w:rsidR="00891FDB" w:rsidRDefault="00DF720E">
            <w:pPr>
              <w:pStyle w:val="Standard"/>
              <w:spacing w:before="120"/>
              <w:rPr>
                <w:rFonts w:ascii="Arial" w:hAnsi="Arial"/>
              </w:rPr>
            </w:pPr>
            <w:r>
              <w:rPr>
                <w:rFonts w:ascii="Arial" w:hAnsi="Arial"/>
              </w:rPr>
              <w:t>17</w:t>
            </w:r>
          </w:p>
          <w:p w:rsidR="00891FDB" w:rsidRDefault="00891FDB">
            <w:pPr>
              <w:pStyle w:val="Standard"/>
              <w:spacing w:before="120"/>
              <w:rPr>
                <w:rFonts w:ascii="Arial" w:hAnsi="Arial"/>
              </w:rPr>
            </w:pPr>
          </w:p>
        </w:tc>
        <w:tc>
          <w:tcPr>
            <w:tcW w:w="1008" w:type="dxa"/>
            <w:tcBorders>
              <w:top w:val="single" w:sz="4" w:space="0" w:color="000000"/>
              <w:left w:val="single" w:sz="4" w:space="0" w:color="000000"/>
              <w:bottom w:val="single" w:sz="4" w:space="0" w:color="000000"/>
            </w:tcBorders>
            <w:tcMar>
              <w:top w:w="0" w:type="dxa"/>
              <w:left w:w="108" w:type="dxa"/>
              <w:bottom w:w="0" w:type="dxa"/>
              <w:right w:w="108" w:type="dxa"/>
            </w:tcMar>
          </w:tcPr>
          <w:p w:rsidR="00891FDB" w:rsidRDefault="00DF720E">
            <w:pPr>
              <w:pStyle w:val="Standard"/>
              <w:spacing w:before="120"/>
              <w:rPr>
                <w:rFonts w:ascii="Arial" w:hAnsi="Arial"/>
              </w:rPr>
            </w:pPr>
            <w:r>
              <w:rPr>
                <w:rFonts w:ascii="Arial" w:hAnsi="Arial"/>
              </w:rPr>
              <w:t>6</w:t>
            </w:r>
          </w:p>
          <w:p w:rsidR="00891FDB" w:rsidRDefault="00891FDB">
            <w:pPr>
              <w:pStyle w:val="Standard"/>
              <w:spacing w:before="120"/>
              <w:rPr>
                <w:rFonts w:ascii="Arial" w:hAnsi="Arial"/>
              </w:rPr>
            </w:pPr>
          </w:p>
        </w:tc>
        <w:tc>
          <w:tcPr>
            <w:tcW w:w="1008" w:type="dxa"/>
            <w:tcBorders>
              <w:top w:val="single" w:sz="4" w:space="0" w:color="000000"/>
              <w:left w:val="single" w:sz="4" w:space="0" w:color="000000"/>
              <w:bottom w:val="single" w:sz="4" w:space="0" w:color="000000"/>
            </w:tcBorders>
            <w:tcMar>
              <w:top w:w="0" w:type="dxa"/>
              <w:left w:w="108" w:type="dxa"/>
              <w:bottom w:w="0" w:type="dxa"/>
              <w:right w:w="108" w:type="dxa"/>
            </w:tcMar>
          </w:tcPr>
          <w:p w:rsidR="00891FDB" w:rsidRDefault="00DF720E">
            <w:pPr>
              <w:pStyle w:val="Standard"/>
              <w:spacing w:before="120"/>
              <w:rPr>
                <w:rFonts w:ascii="Arial" w:hAnsi="Arial"/>
              </w:rPr>
            </w:pPr>
            <w:r>
              <w:rPr>
                <w:rFonts w:ascii="Arial" w:hAnsi="Arial"/>
              </w:rPr>
              <w:t>—</w:t>
            </w:r>
          </w:p>
          <w:p w:rsidR="00891FDB" w:rsidRDefault="00891FDB">
            <w:pPr>
              <w:pStyle w:val="Standard"/>
              <w:spacing w:before="120"/>
              <w:rPr>
                <w:rFonts w:ascii="Arial" w:hAnsi="Arial"/>
              </w:rPr>
            </w:pPr>
          </w:p>
        </w:tc>
        <w:tc>
          <w:tcPr>
            <w:tcW w:w="1058"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tcPr>
          <w:p w:rsidR="00891FDB" w:rsidRDefault="00DF720E">
            <w:pPr>
              <w:pStyle w:val="Standard"/>
              <w:spacing w:before="120"/>
              <w:rPr>
                <w:rFonts w:ascii="Arial" w:hAnsi="Arial"/>
              </w:rPr>
            </w:pPr>
            <w:r>
              <w:rPr>
                <w:rFonts w:ascii="Arial" w:hAnsi="Arial"/>
              </w:rPr>
              <w:t>3</w:t>
            </w:r>
          </w:p>
          <w:p w:rsidR="00891FDB" w:rsidRDefault="00891FDB">
            <w:pPr>
              <w:pStyle w:val="Standard"/>
              <w:spacing w:before="120"/>
              <w:rPr>
                <w:rFonts w:ascii="Arial" w:hAnsi="Arial"/>
              </w:rPr>
            </w:pPr>
          </w:p>
        </w:tc>
      </w:tr>
      <w:tr w:rsidR="00891FDB">
        <w:trPr>
          <w:trHeight w:val="720"/>
        </w:trPr>
        <w:tc>
          <w:tcPr>
            <w:tcW w:w="3024" w:type="dxa"/>
            <w:tcBorders>
              <w:top w:val="single" w:sz="4" w:space="0" w:color="000000"/>
              <w:left w:val="single" w:sz="8" w:space="0" w:color="000000"/>
              <w:bottom w:val="single" w:sz="4" w:space="0" w:color="000000"/>
            </w:tcBorders>
            <w:tcMar>
              <w:top w:w="0" w:type="dxa"/>
              <w:left w:w="108" w:type="dxa"/>
              <w:bottom w:w="0" w:type="dxa"/>
              <w:right w:w="108" w:type="dxa"/>
            </w:tcMar>
          </w:tcPr>
          <w:p w:rsidR="00891FDB" w:rsidRDefault="00DF720E">
            <w:pPr>
              <w:pStyle w:val="Standard"/>
              <w:spacing w:before="120"/>
              <w:rPr>
                <w:rFonts w:ascii="Arial" w:hAnsi="Arial"/>
              </w:rPr>
            </w:pPr>
            <w:r>
              <w:rPr>
                <w:rFonts w:ascii="Arial" w:hAnsi="Arial"/>
              </w:rPr>
              <w:t>Land N of A283</w:t>
            </w:r>
          </w:p>
          <w:p w:rsidR="00891FDB" w:rsidRDefault="00891FDB">
            <w:pPr>
              <w:pStyle w:val="Standard"/>
              <w:spacing w:before="120"/>
              <w:rPr>
                <w:rFonts w:ascii="Arial" w:hAnsi="Arial"/>
              </w:rPr>
            </w:pPr>
          </w:p>
          <w:p w:rsidR="00891FDB" w:rsidRDefault="00891FDB">
            <w:pPr>
              <w:pStyle w:val="Standard"/>
              <w:rPr>
                <w:rFonts w:ascii="Arial" w:hAnsi="Arial"/>
              </w:rPr>
            </w:pPr>
          </w:p>
        </w:tc>
        <w:tc>
          <w:tcPr>
            <w:tcW w:w="1008" w:type="dxa"/>
            <w:tcBorders>
              <w:top w:val="single" w:sz="4" w:space="0" w:color="000000"/>
              <w:left w:val="double" w:sz="2" w:space="0" w:color="000000"/>
              <w:bottom w:val="single" w:sz="4" w:space="0" w:color="000000"/>
            </w:tcBorders>
            <w:tcMar>
              <w:top w:w="0" w:type="dxa"/>
              <w:left w:w="108" w:type="dxa"/>
              <w:bottom w:w="0" w:type="dxa"/>
              <w:right w:w="108" w:type="dxa"/>
            </w:tcMar>
          </w:tcPr>
          <w:p w:rsidR="00891FDB" w:rsidRDefault="00DF720E">
            <w:pPr>
              <w:pStyle w:val="Standard"/>
              <w:spacing w:before="120"/>
              <w:rPr>
                <w:rFonts w:ascii="Arial" w:hAnsi="Arial"/>
              </w:rPr>
            </w:pPr>
            <w:r>
              <w:rPr>
                <w:rFonts w:ascii="Arial" w:hAnsi="Arial"/>
              </w:rPr>
              <w:t>13</w:t>
            </w:r>
          </w:p>
          <w:p w:rsidR="00891FDB" w:rsidRDefault="00891FDB">
            <w:pPr>
              <w:pStyle w:val="Standard"/>
              <w:spacing w:before="120"/>
              <w:rPr>
                <w:rFonts w:ascii="Arial" w:hAnsi="Arial"/>
              </w:rPr>
            </w:pPr>
          </w:p>
        </w:tc>
        <w:tc>
          <w:tcPr>
            <w:tcW w:w="1008" w:type="dxa"/>
            <w:tcBorders>
              <w:top w:val="single" w:sz="4" w:space="0" w:color="000000"/>
              <w:left w:val="single" w:sz="4" w:space="0" w:color="000000"/>
              <w:bottom w:val="single" w:sz="4" w:space="0" w:color="000000"/>
            </w:tcBorders>
            <w:tcMar>
              <w:top w:w="0" w:type="dxa"/>
              <w:left w:w="108" w:type="dxa"/>
              <w:bottom w:w="0" w:type="dxa"/>
              <w:right w:w="108" w:type="dxa"/>
            </w:tcMar>
          </w:tcPr>
          <w:p w:rsidR="00891FDB" w:rsidRDefault="00DF720E">
            <w:pPr>
              <w:pStyle w:val="Standard"/>
              <w:spacing w:before="120"/>
              <w:rPr>
                <w:rFonts w:ascii="Arial" w:hAnsi="Arial"/>
              </w:rPr>
            </w:pPr>
            <w:r>
              <w:rPr>
                <w:rFonts w:ascii="Arial" w:hAnsi="Arial"/>
              </w:rPr>
              <w:t>13½</w:t>
            </w:r>
          </w:p>
          <w:p w:rsidR="00891FDB" w:rsidRDefault="00891FDB">
            <w:pPr>
              <w:pStyle w:val="Standard"/>
              <w:spacing w:before="120"/>
              <w:rPr>
                <w:rFonts w:ascii="Arial" w:hAnsi="Arial"/>
              </w:rPr>
            </w:pPr>
          </w:p>
        </w:tc>
        <w:tc>
          <w:tcPr>
            <w:tcW w:w="1008" w:type="dxa"/>
            <w:tcBorders>
              <w:top w:val="single" w:sz="4" w:space="0" w:color="000000"/>
              <w:left w:val="single" w:sz="4" w:space="0" w:color="000000"/>
              <w:bottom w:val="single" w:sz="4" w:space="0" w:color="000000"/>
            </w:tcBorders>
            <w:tcMar>
              <w:top w:w="0" w:type="dxa"/>
              <w:left w:w="108" w:type="dxa"/>
              <w:bottom w:w="0" w:type="dxa"/>
              <w:right w:w="108" w:type="dxa"/>
            </w:tcMar>
          </w:tcPr>
          <w:p w:rsidR="00891FDB" w:rsidRDefault="00DF720E">
            <w:pPr>
              <w:pStyle w:val="Standard"/>
              <w:spacing w:before="120"/>
              <w:rPr>
                <w:rFonts w:ascii="Arial" w:hAnsi="Arial"/>
              </w:rPr>
            </w:pPr>
            <w:r>
              <w:rPr>
                <w:rFonts w:ascii="Arial" w:hAnsi="Arial"/>
              </w:rPr>
              <w:t>3</w:t>
            </w:r>
          </w:p>
          <w:p w:rsidR="00891FDB" w:rsidRDefault="00891FDB">
            <w:pPr>
              <w:pStyle w:val="Standard"/>
              <w:spacing w:before="120"/>
              <w:rPr>
                <w:rFonts w:ascii="Arial" w:hAnsi="Arial"/>
              </w:rPr>
            </w:pPr>
          </w:p>
        </w:tc>
        <w:tc>
          <w:tcPr>
            <w:tcW w:w="1008" w:type="dxa"/>
            <w:tcBorders>
              <w:top w:val="single" w:sz="4" w:space="0" w:color="000000"/>
              <w:left w:val="single" w:sz="4" w:space="0" w:color="000000"/>
              <w:bottom w:val="single" w:sz="4" w:space="0" w:color="000000"/>
            </w:tcBorders>
            <w:tcMar>
              <w:top w:w="0" w:type="dxa"/>
              <w:left w:w="108" w:type="dxa"/>
              <w:bottom w:w="0" w:type="dxa"/>
              <w:right w:w="108" w:type="dxa"/>
            </w:tcMar>
          </w:tcPr>
          <w:p w:rsidR="00891FDB" w:rsidRDefault="00DF720E">
            <w:pPr>
              <w:pStyle w:val="Standard"/>
              <w:spacing w:before="120"/>
              <w:rPr>
                <w:rFonts w:ascii="Arial" w:hAnsi="Arial"/>
              </w:rPr>
            </w:pPr>
            <w:r>
              <w:rPr>
                <w:rFonts w:ascii="Arial" w:hAnsi="Arial"/>
              </w:rPr>
              <w:t>5</w:t>
            </w:r>
          </w:p>
          <w:p w:rsidR="00891FDB" w:rsidRDefault="00891FDB">
            <w:pPr>
              <w:pStyle w:val="Standard"/>
              <w:spacing w:before="120"/>
              <w:rPr>
                <w:rFonts w:ascii="Arial" w:hAnsi="Arial"/>
              </w:rPr>
            </w:pPr>
          </w:p>
        </w:tc>
        <w:tc>
          <w:tcPr>
            <w:tcW w:w="1058"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tcPr>
          <w:p w:rsidR="00891FDB" w:rsidRDefault="00DF720E">
            <w:pPr>
              <w:pStyle w:val="Standard"/>
              <w:spacing w:before="120"/>
              <w:rPr>
                <w:rFonts w:ascii="Arial" w:hAnsi="Arial"/>
              </w:rPr>
            </w:pPr>
            <w:r>
              <w:rPr>
                <w:rFonts w:ascii="Arial" w:hAnsi="Arial"/>
              </w:rPr>
              <w:t>4</w:t>
            </w:r>
          </w:p>
          <w:p w:rsidR="00891FDB" w:rsidRDefault="00891FDB">
            <w:pPr>
              <w:pStyle w:val="Standard"/>
              <w:spacing w:before="120"/>
              <w:rPr>
                <w:rFonts w:ascii="Arial" w:hAnsi="Arial"/>
              </w:rPr>
            </w:pPr>
          </w:p>
        </w:tc>
      </w:tr>
      <w:tr w:rsidR="00891FDB">
        <w:trPr>
          <w:trHeight w:val="720"/>
        </w:trPr>
        <w:tc>
          <w:tcPr>
            <w:tcW w:w="3024" w:type="dxa"/>
            <w:tcBorders>
              <w:top w:val="single" w:sz="4" w:space="0" w:color="000000"/>
              <w:left w:val="single" w:sz="8" w:space="0" w:color="000000"/>
              <w:bottom w:val="single" w:sz="4" w:space="0" w:color="000000"/>
            </w:tcBorders>
            <w:tcMar>
              <w:top w:w="0" w:type="dxa"/>
              <w:left w:w="108" w:type="dxa"/>
              <w:bottom w:w="0" w:type="dxa"/>
              <w:right w:w="108" w:type="dxa"/>
            </w:tcMar>
          </w:tcPr>
          <w:p w:rsidR="00891FDB" w:rsidRDefault="00DF720E">
            <w:pPr>
              <w:pStyle w:val="Standard"/>
              <w:spacing w:before="120"/>
              <w:rPr>
                <w:rFonts w:ascii="Arial" w:hAnsi="Arial"/>
              </w:rPr>
            </w:pPr>
            <w:r>
              <w:rPr>
                <w:rFonts w:ascii="Arial" w:hAnsi="Arial"/>
              </w:rPr>
              <w:t>Land at the corner of the Fleet and Limbourne Lane</w:t>
            </w:r>
          </w:p>
          <w:p w:rsidR="00891FDB" w:rsidRDefault="00891FDB">
            <w:pPr>
              <w:pStyle w:val="Standard"/>
              <w:spacing w:before="120"/>
              <w:rPr>
                <w:rFonts w:ascii="Arial" w:hAnsi="Arial"/>
              </w:rPr>
            </w:pPr>
          </w:p>
        </w:tc>
        <w:tc>
          <w:tcPr>
            <w:tcW w:w="1008" w:type="dxa"/>
            <w:tcBorders>
              <w:top w:val="single" w:sz="4" w:space="0" w:color="000000"/>
              <w:left w:val="double" w:sz="2" w:space="0" w:color="000000"/>
              <w:bottom w:val="single" w:sz="4" w:space="0" w:color="000000"/>
            </w:tcBorders>
            <w:tcMar>
              <w:top w:w="0" w:type="dxa"/>
              <w:left w:w="108" w:type="dxa"/>
              <w:bottom w:w="0" w:type="dxa"/>
              <w:right w:w="108" w:type="dxa"/>
            </w:tcMar>
          </w:tcPr>
          <w:p w:rsidR="00891FDB" w:rsidRDefault="00DF720E">
            <w:pPr>
              <w:pStyle w:val="Standard"/>
              <w:spacing w:before="120"/>
              <w:rPr>
                <w:rFonts w:ascii="Arial" w:hAnsi="Arial"/>
              </w:rPr>
            </w:pPr>
            <w:r>
              <w:rPr>
                <w:rFonts w:ascii="Arial" w:hAnsi="Arial"/>
              </w:rPr>
              <w:t>16</w:t>
            </w:r>
            <w:r>
              <w:rPr>
                <w:rFonts w:ascii="Arial" w:hAnsi="Arial"/>
                <w:position w:val="6"/>
                <w:sz w:val="12"/>
              </w:rPr>
              <w:t>2</w:t>
            </w:r>
            <w:r>
              <w:rPr>
                <w:rFonts w:ascii="Arial" w:hAnsi="Arial"/>
              </w:rPr>
              <w:t>/</w:t>
            </w:r>
            <w:r>
              <w:rPr>
                <w:rFonts w:ascii="Arial" w:hAnsi="Arial"/>
                <w:sz w:val="12"/>
              </w:rPr>
              <w:t>3</w:t>
            </w:r>
          </w:p>
          <w:p w:rsidR="00891FDB" w:rsidRDefault="00891FDB">
            <w:pPr>
              <w:pStyle w:val="Standard"/>
              <w:spacing w:before="120"/>
              <w:rPr>
                <w:rFonts w:ascii="Arial" w:hAnsi="Arial"/>
              </w:rPr>
            </w:pPr>
          </w:p>
        </w:tc>
        <w:tc>
          <w:tcPr>
            <w:tcW w:w="1008" w:type="dxa"/>
            <w:tcBorders>
              <w:top w:val="single" w:sz="4" w:space="0" w:color="000000"/>
              <w:left w:val="single" w:sz="4" w:space="0" w:color="000000"/>
              <w:bottom w:val="single" w:sz="4" w:space="0" w:color="000000"/>
            </w:tcBorders>
            <w:tcMar>
              <w:top w:w="0" w:type="dxa"/>
              <w:left w:w="108" w:type="dxa"/>
              <w:bottom w:w="0" w:type="dxa"/>
              <w:right w:w="108" w:type="dxa"/>
            </w:tcMar>
          </w:tcPr>
          <w:p w:rsidR="00891FDB" w:rsidRDefault="00DF720E">
            <w:pPr>
              <w:pStyle w:val="Standard"/>
              <w:spacing w:before="120"/>
              <w:rPr>
                <w:rFonts w:ascii="Arial" w:hAnsi="Arial"/>
              </w:rPr>
            </w:pPr>
            <w:r>
              <w:rPr>
                <w:rFonts w:ascii="Arial" w:hAnsi="Arial"/>
              </w:rPr>
              <w:t>10½</w:t>
            </w:r>
          </w:p>
          <w:p w:rsidR="00891FDB" w:rsidRDefault="00891FDB">
            <w:pPr>
              <w:pStyle w:val="Standard"/>
              <w:spacing w:before="120"/>
              <w:rPr>
                <w:rFonts w:ascii="Arial" w:hAnsi="Arial"/>
              </w:rPr>
            </w:pPr>
          </w:p>
        </w:tc>
        <w:tc>
          <w:tcPr>
            <w:tcW w:w="1008" w:type="dxa"/>
            <w:tcBorders>
              <w:top w:val="single" w:sz="4" w:space="0" w:color="000000"/>
              <w:left w:val="single" w:sz="4" w:space="0" w:color="000000"/>
              <w:bottom w:val="single" w:sz="4" w:space="0" w:color="000000"/>
            </w:tcBorders>
            <w:tcMar>
              <w:top w:w="0" w:type="dxa"/>
              <w:left w:w="108" w:type="dxa"/>
              <w:bottom w:w="0" w:type="dxa"/>
              <w:right w:w="108" w:type="dxa"/>
            </w:tcMar>
          </w:tcPr>
          <w:p w:rsidR="00891FDB" w:rsidRDefault="00DF720E">
            <w:pPr>
              <w:pStyle w:val="Standard"/>
              <w:spacing w:before="120"/>
              <w:rPr>
                <w:rFonts w:ascii="Arial" w:hAnsi="Arial"/>
              </w:rPr>
            </w:pPr>
            <w:r>
              <w:rPr>
                <w:rFonts w:ascii="Arial" w:hAnsi="Arial"/>
              </w:rPr>
              <w:t>8½</w:t>
            </w:r>
          </w:p>
          <w:p w:rsidR="00891FDB" w:rsidRDefault="00891FDB">
            <w:pPr>
              <w:pStyle w:val="Standard"/>
              <w:spacing w:before="120"/>
              <w:rPr>
                <w:rFonts w:ascii="Arial" w:hAnsi="Arial"/>
              </w:rPr>
            </w:pPr>
          </w:p>
        </w:tc>
        <w:tc>
          <w:tcPr>
            <w:tcW w:w="1008" w:type="dxa"/>
            <w:tcBorders>
              <w:top w:val="single" w:sz="4" w:space="0" w:color="000000"/>
              <w:left w:val="single" w:sz="4" w:space="0" w:color="000000"/>
              <w:bottom w:val="single" w:sz="4" w:space="0" w:color="000000"/>
            </w:tcBorders>
            <w:tcMar>
              <w:top w:w="0" w:type="dxa"/>
              <w:left w:w="108" w:type="dxa"/>
              <w:bottom w:w="0" w:type="dxa"/>
              <w:right w:w="108" w:type="dxa"/>
            </w:tcMar>
          </w:tcPr>
          <w:p w:rsidR="00891FDB" w:rsidRDefault="00DF720E">
            <w:pPr>
              <w:pStyle w:val="Standard"/>
              <w:spacing w:before="120"/>
              <w:rPr>
                <w:rFonts w:ascii="Arial" w:hAnsi="Arial"/>
              </w:rPr>
            </w:pPr>
            <w:r>
              <w:rPr>
                <w:rFonts w:ascii="Arial" w:hAnsi="Arial"/>
              </w:rPr>
              <w:t>4</w:t>
            </w:r>
          </w:p>
          <w:p w:rsidR="00891FDB" w:rsidRDefault="00891FDB">
            <w:pPr>
              <w:pStyle w:val="Standard"/>
              <w:spacing w:before="120"/>
              <w:rPr>
                <w:rFonts w:ascii="Arial" w:hAnsi="Arial"/>
              </w:rPr>
            </w:pPr>
          </w:p>
        </w:tc>
        <w:tc>
          <w:tcPr>
            <w:tcW w:w="1058"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tcPr>
          <w:p w:rsidR="00891FDB" w:rsidRDefault="00DF720E">
            <w:pPr>
              <w:pStyle w:val="Standard"/>
              <w:spacing w:before="120"/>
              <w:rPr>
                <w:rFonts w:ascii="Arial" w:hAnsi="Arial"/>
              </w:rPr>
            </w:pPr>
            <w:r>
              <w:rPr>
                <w:rFonts w:ascii="Arial" w:hAnsi="Arial"/>
              </w:rPr>
              <w:t>4</w:t>
            </w:r>
          </w:p>
          <w:p w:rsidR="00891FDB" w:rsidRDefault="00891FDB">
            <w:pPr>
              <w:pStyle w:val="Standard"/>
              <w:spacing w:before="120"/>
              <w:rPr>
                <w:rFonts w:ascii="Arial" w:hAnsi="Arial"/>
              </w:rPr>
            </w:pPr>
          </w:p>
        </w:tc>
      </w:tr>
      <w:tr w:rsidR="00891FDB">
        <w:trPr>
          <w:trHeight w:val="720"/>
        </w:trPr>
        <w:tc>
          <w:tcPr>
            <w:tcW w:w="3024" w:type="dxa"/>
            <w:tcBorders>
              <w:top w:val="single" w:sz="4" w:space="0" w:color="000000"/>
              <w:left w:val="single" w:sz="8" w:space="0" w:color="000000"/>
              <w:bottom w:val="single" w:sz="8" w:space="0" w:color="000000"/>
            </w:tcBorders>
            <w:tcMar>
              <w:top w:w="0" w:type="dxa"/>
              <w:left w:w="108" w:type="dxa"/>
              <w:bottom w:w="0" w:type="dxa"/>
              <w:right w:w="108" w:type="dxa"/>
            </w:tcMar>
          </w:tcPr>
          <w:p w:rsidR="00891FDB" w:rsidRDefault="00DF720E">
            <w:pPr>
              <w:pStyle w:val="Standard"/>
              <w:spacing w:before="120"/>
              <w:rPr>
                <w:rFonts w:ascii="Arial" w:hAnsi="Arial"/>
              </w:rPr>
            </w:pPr>
            <w:r>
              <w:rPr>
                <w:rFonts w:ascii="Arial" w:hAnsi="Arial"/>
              </w:rPr>
              <w:t>Fleet Cottage</w:t>
            </w:r>
          </w:p>
          <w:p w:rsidR="00891FDB" w:rsidRDefault="00891FDB">
            <w:pPr>
              <w:pStyle w:val="Standard"/>
              <w:spacing w:before="120"/>
              <w:rPr>
                <w:rFonts w:ascii="Arial" w:hAnsi="Arial"/>
              </w:rPr>
            </w:pPr>
          </w:p>
          <w:p w:rsidR="00891FDB" w:rsidRDefault="00891FDB">
            <w:pPr>
              <w:pStyle w:val="Standard"/>
              <w:rPr>
                <w:rFonts w:ascii="Arial" w:hAnsi="Arial"/>
              </w:rPr>
            </w:pPr>
          </w:p>
        </w:tc>
        <w:tc>
          <w:tcPr>
            <w:tcW w:w="1008" w:type="dxa"/>
            <w:tcBorders>
              <w:top w:val="single" w:sz="4" w:space="0" w:color="000000"/>
              <w:left w:val="double" w:sz="2" w:space="0" w:color="000000"/>
              <w:bottom w:val="single" w:sz="8" w:space="0" w:color="000000"/>
            </w:tcBorders>
            <w:tcMar>
              <w:top w:w="0" w:type="dxa"/>
              <w:left w:w="108" w:type="dxa"/>
              <w:bottom w:w="0" w:type="dxa"/>
              <w:right w:w="108" w:type="dxa"/>
            </w:tcMar>
          </w:tcPr>
          <w:p w:rsidR="00891FDB" w:rsidRDefault="00DF720E">
            <w:pPr>
              <w:pStyle w:val="Standard"/>
              <w:spacing w:before="120"/>
              <w:rPr>
                <w:rFonts w:ascii="Arial" w:hAnsi="Arial"/>
              </w:rPr>
            </w:pPr>
            <w:r>
              <w:rPr>
                <w:rFonts w:ascii="Arial" w:hAnsi="Arial"/>
              </w:rPr>
              <w:t>9½</w:t>
            </w:r>
          </w:p>
          <w:p w:rsidR="00891FDB" w:rsidRDefault="00891FDB">
            <w:pPr>
              <w:pStyle w:val="Standard"/>
              <w:spacing w:before="120"/>
              <w:rPr>
                <w:rFonts w:ascii="Arial" w:hAnsi="Arial"/>
              </w:rPr>
            </w:pPr>
          </w:p>
        </w:tc>
        <w:tc>
          <w:tcPr>
            <w:tcW w:w="1008" w:type="dxa"/>
            <w:tcBorders>
              <w:top w:val="single" w:sz="4" w:space="0" w:color="000000"/>
              <w:left w:val="single" w:sz="4" w:space="0" w:color="000000"/>
              <w:bottom w:val="single" w:sz="8" w:space="0" w:color="000000"/>
            </w:tcBorders>
            <w:tcMar>
              <w:top w:w="0" w:type="dxa"/>
              <w:left w:w="108" w:type="dxa"/>
              <w:bottom w:w="0" w:type="dxa"/>
              <w:right w:w="108" w:type="dxa"/>
            </w:tcMar>
          </w:tcPr>
          <w:p w:rsidR="00891FDB" w:rsidRDefault="00DF720E">
            <w:pPr>
              <w:pStyle w:val="Standard"/>
              <w:spacing w:before="120"/>
              <w:rPr>
                <w:rFonts w:ascii="Arial" w:hAnsi="Arial"/>
              </w:rPr>
            </w:pPr>
            <w:r>
              <w:rPr>
                <w:rFonts w:ascii="Arial" w:hAnsi="Arial"/>
              </w:rPr>
              <w:t>23½</w:t>
            </w:r>
          </w:p>
          <w:p w:rsidR="00891FDB" w:rsidRDefault="00891FDB">
            <w:pPr>
              <w:pStyle w:val="Standard"/>
              <w:spacing w:before="120"/>
              <w:rPr>
                <w:rFonts w:ascii="Arial" w:hAnsi="Arial"/>
              </w:rPr>
            </w:pPr>
          </w:p>
        </w:tc>
        <w:tc>
          <w:tcPr>
            <w:tcW w:w="1008" w:type="dxa"/>
            <w:tcBorders>
              <w:top w:val="single" w:sz="4" w:space="0" w:color="000000"/>
              <w:left w:val="single" w:sz="4" w:space="0" w:color="000000"/>
              <w:bottom w:val="single" w:sz="8" w:space="0" w:color="000000"/>
            </w:tcBorders>
            <w:tcMar>
              <w:top w:w="0" w:type="dxa"/>
              <w:left w:w="108" w:type="dxa"/>
              <w:bottom w:w="0" w:type="dxa"/>
              <w:right w:w="108" w:type="dxa"/>
            </w:tcMar>
          </w:tcPr>
          <w:p w:rsidR="00891FDB" w:rsidRDefault="00DF720E">
            <w:pPr>
              <w:pStyle w:val="Standard"/>
              <w:spacing w:before="120"/>
              <w:rPr>
                <w:rFonts w:ascii="Arial" w:hAnsi="Arial"/>
              </w:rPr>
            </w:pPr>
            <w:r>
              <w:rPr>
                <w:rFonts w:ascii="Arial" w:hAnsi="Arial"/>
              </w:rPr>
              <w:t>11</w:t>
            </w:r>
          </w:p>
          <w:p w:rsidR="00891FDB" w:rsidRDefault="00891FDB">
            <w:pPr>
              <w:pStyle w:val="Standard"/>
              <w:spacing w:before="120"/>
              <w:rPr>
                <w:rFonts w:ascii="Arial" w:hAnsi="Arial"/>
              </w:rPr>
            </w:pPr>
          </w:p>
        </w:tc>
        <w:tc>
          <w:tcPr>
            <w:tcW w:w="1008" w:type="dxa"/>
            <w:tcBorders>
              <w:top w:val="single" w:sz="4" w:space="0" w:color="000000"/>
              <w:left w:val="single" w:sz="4" w:space="0" w:color="000000"/>
              <w:bottom w:val="single" w:sz="8" w:space="0" w:color="000000"/>
            </w:tcBorders>
            <w:tcMar>
              <w:top w:w="0" w:type="dxa"/>
              <w:left w:w="108" w:type="dxa"/>
              <w:bottom w:w="0" w:type="dxa"/>
              <w:right w:w="108" w:type="dxa"/>
            </w:tcMar>
          </w:tcPr>
          <w:p w:rsidR="00891FDB" w:rsidRDefault="00DF720E">
            <w:pPr>
              <w:pStyle w:val="Standard"/>
              <w:spacing w:before="120"/>
              <w:rPr>
                <w:rFonts w:ascii="Arial" w:hAnsi="Arial"/>
              </w:rPr>
            </w:pPr>
            <w:r>
              <w:rPr>
                <w:rFonts w:ascii="Arial" w:hAnsi="Arial"/>
              </w:rPr>
              <w:t>5</w:t>
            </w:r>
          </w:p>
          <w:p w:rsidR="00891FDB" w:rsidRDefault="00891FDB">
            <w:pPr>
              <w:pStyle w:val="Standard"/>
              <w:spacing w:before="120"/>
              <w:rPr>
                <w:rFonts w:ascii="Arial" w:hAnsi="Arial"/>
              </w:rPr>
            </w:pPr>
          </w:p>
        </w:tc>
        <w:tc>
          <w:tcPr>
            <w:tcW w:w="1058" w:type="dxa"/>
            <w:tcBorders>
              <w:top w:val="single" w:sz="4" w:space="0" w:color="000000"/>
              <w:left w:val="single" w:sz="4" w:space="0" w:color="000000"/>
              <w:bottom w:val="single" w:sz="8" w:space="0" w:color="000000"/>
              <w:right w:val="single" w:sz="8" w:space="0" w:color="000000"/>
            </w:tcBorders>
            <w:tcMar>
              <w:top w:w="0" w:type="dxa"/>
              <w:left w:w="108" w:type="dxa"/>
              <w:bottom w:w="0" w:type="dxa"/>
              <w:right w:w="108" w:type="dxa"/>
            </w:tcMar>
          </w:tcPr>
          <w:p w:rsidR="00891FDB" w:rsidRDefault="00DF720E">
            <w:pPr>
              <w:pStyle w:val="Standard"/>
              <w:spacing w:before="120"/>
              <w:rPr>
                <w:rFonts w:ascii="Arial" w:hAnsi="Arial"/>
              </w:rPr>
            </w:pPr>
            <w:r>
              <w:rPr>
                <w:rFonts w:ascii="Arial" w:hAnsi="Arial"/>
              </w:rPr>
              <w:t>2</w:t>
            </w:r>
          </w:p>
          <w:p w:rsidR="00891FDB" w:rsidRDefault="00891FDB">
            <w:pPr>
              <w:pStyle w:val="Standard"/>
              <w:spacing w:before="120"/>
              <w:rPr>
                <w:rFonts w:ascii="Arial" w:hAnsi="Arial"/>
              </w:rPr>
            </w:pPr>
          </w:p>
        </w:tc>
      </w:tr>
    </w:tbl>
    <w:p w:rsidR="00891FDB" w:rsidRDefault="00891FDB">
      <w:pPr>
        <w:pStyle w:val="Standard"/>
      </w:pPr>
    </w:p>
    <w:p w:rsidR="00891FDB" w:rsidRDefault="00891FDB">
      <w:pPr>
        <w:pStyle w:val="Standard"/>
      </w:pPr>
    </w:p>
    <w:p w:rsidR="00891FDB" w:rsidRDefault="00891FDB">
      <w:pPr>
        <w:pStyle w:val="Standard"/>
      </w:pPr>
    </w:p>
    <w:p w:rsidR="00891FDB" w:rsidRDefault="00891FDB">
      <w:pPr>
        <w:pStyle w:val="Standard"/>
      </w:pPr>
    </w:p>
    <w:sectPr w:rsidR="00891FDB">
      <w:footerReference w:type="default" r:id="rId7"/>
      <w:pgSz w:w="11906" w:h="16838"/>
      <w:pgMar w:top="1440" w:right="1440" w:bottom="1440" w:left="1440" w:header="720"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F4B" w:rsidRDefault="000D3F4B">
      <w:r>
        <w:separator/>
      </w:r>
    </w:p>
  </w:endnote>
  <w:endnote w:type="continuationSeparator" w:id="0">
    <w:p w:rsidR="000D3F4B" w:rsidRDefault="000D3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089" w:rsidRDefault="00DF720E">
    <w:pPr>
      <w:pStyle w:val="Footer"/>
      <w:jc w:val="center"/>
    </w:pPr>
    <w:r>
      <w:fldChar w:fldCharType="begin"/>
    </w:r>
    <w:r>
      <w:instrText xml:space="preserve"> PAGE </w:instrText>
    </w:r>
    <w:r>
      <w:fldChar w:fldCharType="separate"/>
    </w:r>
    <w:r w:rsidR="00F001D9">
      <w:rPr>
        <w:noProof/>
      </w:rPr>
      <w:t>1</w:t>
    </w:r>
    <w:r>
      <w:fldChar w:fldCharType="end"/>
    </w:r>
  </w:p>
  <w:p w:rsidR="006C6089" w:rsidRDefault="000D3F4B">
    <w:pPr>
      <w:pStyle w:val="Standard"/>
      <w:jc w:val="cen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F4B" w:rsidRDefault="000D3F4B">
      <w:r>
        <w:rPr>
          <w:color w:val="000000"/>
        </w:rPr>
        <w:separator/>
      </w:r>
    </w:p>
  </w:footnote>
  <w:footnote w:type="continuationSeparator" w:id="0">
    <w:p w:rsidR="000D3F4B" w:rsidRDefault="000D3F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C119A9"/>
    <w:multiLevelType w:val="multilevel"/>
    <w:tmpl w:val="23B65D7A"/>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FDB"/>
    <w:rsid w:val="000D3F4B"/>
    <w:rsid w:val="00313FB9"/>
    <w:rsid w:val="00631E69"/>
    <w:rsid w:val="00653B20"/>
    <w:rsid w:val="006B15C8"/>
    <w:rsid w:val="00891FDB"/>
    <w:rsid w:val="00DF720E"/>
    <w:rsid w:val="00F00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47710"/>
  <w15:docId w15:val="{6BCA5B48-8E65-45E6-958F-B790D24F4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Heading"/>
    <w:next w:val="Standard"/>
    <w:pPr>
      <w:outlineLvl w:val="0"/>
    </w:pPr>
  </w:style>
  <w:style w:type="paragraph" w:styleId="Heading2">
    <w:name w:val="heading 2"/>
    <w:basedOn w:val="Heading"/>
    <w:next w:val="Standard"/>
    <w:pPr>
      <w:outlineLvl w:val="1"/>
    </w:pPr>
  </w:style>
  <w:style w:type="paragraph" w:styleId="Heading3">
    <w:name w:val="heading 3"/>
    <w:basedOn w:val="Heading"/>
    <w:next w:val="NormalIndent"/>
    <w:pPr>
      <w:outlineLvl w:val="2"/>
    </w:pPr>
  </w:style>
  <w:style w:type="paragraph" w:styleId="Heading4">
    <w:name w:val="heading 4"/>
    <w:basedOn w:val="Heading"/>
    <w:next w:val="NormalIndent"/>
    <w:pPr>
      <w:outlineLvl w:val="3"/>
    </w:pPr>
  </w:style>
  <w:style w:type="paragraph" w:styleId="Heading5">
    <w:name w:val="heading 5"/>
    <w:basedOn w:val="Heading"/>
    <w:next w:val="NormalIndent"/>
    <w:pPr>
      <w:outlineLvl w:val="4"/>
    </w:pPr>
  </w:style>
  <w:style w:type="paragraph" w:styleId="Heading6">
    <w:name w:val="heading 6"/>
    <w:basedOn w:val="Heading"/>
    <w:next w:val="NormalIndent"/>
    <w:pPr>
      <w:outlineLvl w:val="5"/>
    </w:pPr>
  </w:style>
  <w:style w:type="paragraph" w:styleId="Heading7">
    <w:name w:val="heading 7"/>
    <w:basedOn w:val="Heading"/>
    <w:next w:val="NormalIndent"/>
    <w:pPr>
      <w:outlineLvl w:val="6"/>
    </w:pPr>
  </w:style>
  <w:style w:type="paragraph" w:styleId="Heading8">
    <w:name w:val="heading 8"/>
    <w:basedOn w:val="Heading"/>
    <w:next w:val="NormalIndent"/>
    <w:pPr>
      <w:outlineLvl w:val="7"/>
    </w:pPr>
  </w:style>
  <w:style w:type="paragraph" w:styleId="Heading9">
    <w:name w:val="heading 9"/>
    <w:basedOn w:val="Heading"/>
    <w:next w:val="NormalInden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Pr>
      <w:sz w:val="22"/>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sz w:val="24"/>
    </w:rPr>
  </w:style>
  <w:style w:type="paragraph" w:customStyle="1" w:styleId="Index">
    <w:name w:val="Index"/>
    <w:basedOn w:val="Standard"/>
    <w:pPr>
      <w:suppressLineNumbers/>
    </w:pPr>
  </w:style>
  <w:style w:type="paragraph" w:styleId="Footer">
    <w:name w:val="footer"/>
    <w:basedOn w:val="Standard"/>
  </w:style>
  <w:style w:type="paragraph" w:styleId="Header">
    <w:name w:val="header"/>
    <w:basedOn w:val="Standard"/>
  </w:style>
  <w:style w:type="paragraph" w:customStyle="1" w:styleId="Footnote">
    <w:name w:val="Footnote"/>
    <w:basedOn w:val="Standard"/>
  </w:style>
  <w:style w:type="paragraph" w:styleId="NormalIndent">
    <w:name w:val="Normal Indent"/>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ootnoteSymbol">
    <w:name w:val="Footnote Symbol"/>
  </w:style>
  <w:style w:type="numbering" w:customStyle="1" w:styleId="WW8Num1">
    <w:name w:val="WW8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1473</Words>
  <Characters>8400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Chris Welfare</cp:lastModifiedBy>
  <cp:revision>2</cp:revision>
  <cp:lastPrinted>2015-11-21T21:38:00Z</cp:lastPrinted>
  <dcterms:created xsi:type="dcterms:W3CDTF">2017-10-02T08:57:00Z</dcterms:created>
  <dcterms:modified xsi:type="dcterms:W3CDTF">2017-10-02T08:57:00Z</dcterms:modified>
</cp:coreProperties>
</file>